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9C" w:rsidRPr="009A6D59" w:rsidRDefault="00E0759C" w:rsidP="00BF76B5">
      <w:pPr>
        <w:rPr>
          <w:rFonts w:ascii="Arial" w:hAnsi="Arial" w:cs="Arial"/>
          <w:b/>
          <w:sz w:val="24"/>
        </w:rPr>
      </w:pPr>
      <w:r w:rsidRPr="009A6D59">
        <w:rPr>
          <w:rFonts w:ascii="Arial" w:hAnsi="Arial" w:cs="Arial"/>
          <w:b/>
          <w:sz w:val="24"/>
        </w:rPr>
        <w:t>Quelle sous-rubrique </w:t>
      </w:r>
      <w:r w:rsidR="007F1E7F" w:rsidRPr="009A6D59">
        <w:rPr>
          <w:rFonts w:ascii="Arial" w:hAnsi="Arial" w:cs="Arial"/>
          <w:b/>
          <w:sz w:val="24"/>
        </w:rPr>
        <w:t>(106 A, 106 B, 106 C</w:t>
      </w:r>
      <w:r w:rsidR="00A42CCB">
        <w:rPr>
          <w:rFonts w:ascii="Arial" w:hAnsi="Arial" w:cs="Arial"/>
          <w:b/>
          <w:sz w:val="24"/>
        </w:rPr>
        <w:t xml:space="preserve"> ou</w:t>
      </w:r>
      <w:r w:rsidR="007F1E7F" w:rsidRPr="009A6D59">
        <w:rPr>
          <w:rFonts w:ascii="Arial" w:hAnsi="Arial" w:cs="Arial"/>
          <w:b/>
          <w:sz w:val="24"/>
        </w:rPr>
        <w:t xml:space="preserve"> </w:t>
      </w:r>
      <w:r w:rsidRPr="009A6D59">
        <w:rPr>
          <w:rFonts w:ascii="Arial" w:hAnsi="Arial" w:cs="Arial"/>
          <w:b/>
          <w:sz w:val="24"/>
        </w:rPr>
        <w:t>106 D) ?</w:t>
      </w:r>
    </w:p>
    <w:p w:rsidR="00BF76B5" w:rsidRPr="009A6D59" w:rsidRDefault="00052069" w:rsidP="00BF76B5">
      <w:pPr>
        <w:rPr>
          <w:sz w:val="20"/>
          <w:szCs w:val="20"/>
        </w:rPr>
      </w:pPr>
      <w:r w:rsidRPr="009A6D59">
        <w:rPr>
          <w:rFonts w:ascii="Arial" w:hAnsi="Arial" w:cs="Arial"/>
          <w:sz w:val="20"/>
          <w:szCs w:val="20"/>
        </w:rPr>
        <w:t>Pour savoir si vous êtes concernés par la</w:t>
      </w:r>
      <w:r w:rsidR="00E0759C" w:rsidRPr="009A6D59">
        <w:rPr>
          <w:rFonts w:ascii="Arial" w:hAnsi="Arial" w:cs="Arial"/>
          <w:sz w:val="20"/>
          <w:szCs w:val="20"/>
        </w:rPr>
        <w:t xml:space="preserve"> </w:t>
      </w:r>
      <w:r w:rsidRPr="009A6D59">
        <w:rPr>
          <w:rFonts w:ascii="Arial" w:hAnsi="Arial" w:cs="Arial"/>
          <w:sz w:val="20"/>
          <w:szCs w:val="20"/>
        </w:rPr>
        <w:t>rubrique 106</w:t>
      </w:r>
      <w:r w:rsidR="00CB239E" w:rsidRPr="009A6D59">
        <w:rPr>
          <w:rFonts w:ascii="Arial" w:hAnsi="Arial" w:cs="Arial"/>
          <w:sz w:val="20"/>
          <w:szCs w:val="20"/>
        </w:rPr>
        <w:t xml:space="preserve"> « Dépôt de déchets d’origine animale »</w:t>
      </w:r>
      <w:r w:rsidRPr="009A6D59">
        <w:rPr>
          <w:rFonts w:ascii="Arial" w:hAnsi="Arial" w:cs="Arial"/>
          <w:sz w:val="20"/>
          <w:szCs w:val="20"/>
        </w:rPr>
        <w:t>,</w:t>
      </w:r>
      <w:r w:rsidR="0010733F" w:rsidRPr="009A6D59">
        <w:rPr>
          <w:rFonts w:ascii="Arial" w:hAnsi="Arial" w:cs="Arial"/>
          <w:sz w:val="20"/>
          <w:szCs w:val="20"/>
        </w:rPr>
        <w:t xml:space="preserve"> et pour savoir quelle(s) sous-rubrique</w:t>
      </w:r>
      <w:r w:rsidR="003A5465" w:rsidRPr="009A6D59">
        <w:rPr>
          <w:rFonts w:ascii="Arial" w:hAnsi="Arial" w:cs="Arial"/>
          <w:sz w:val="20"/>
          <w:szCs w:val="20"/>
        </w:rPr>
        <w:t>(s)</w:t>
      </w:r>
      <w:r w:rsidR="0010733F" w:rsidRPr="009A6D59">
        <w:rPr>
          <w:rFonts w:ascii="Arial" w:hAnsi="Arial" w:cs="Arial"/>
          <w:sz w:val="20"/>
          <w:szCs w:val="20"/>
        </w:rPr>
        <w:t xml:space="preserve"> s’applique(nt), </w:t>
      </w:r>
      <w:r w:rsidR="00CB239E" w:rsidRPr="009A6D59">
        <w:rPr>
          <w:rFonts w:ascii="Arial" w:hAnsi="Arial" w:cs="Arial"/>
          <w:sz w:val="20"/>
          <w:szCs w:val="20"/>
        </w:rPr>
        <w:t>il faut connaître la quantité de déchets stockés par catégorie</w:t>
      </w:r>
      <w:r w:rsidR="00D42AB2" w:rsidRPr="009A6D59">
        <w:rPr>
          <w:rFonts w:ascii="Arial" w:hAnsi="Arial" w:cs="Arial"/>
          <w:sz w:val="20"/>
          <w:szCs w:val="20"/>
        </w:rPr>
        <w:t xml:space="preserve"> (1, 2</w:t>
      </w:r>
      <w:r w:rsidR="0010733F" w:rsidRPr="009A6D59">
        <w:rPr>
          <w:rFonts w:ascii="Arial" w:hAnsi="Arial" w:cs="Arial"/>
          <w:sz w:val="20"/>
          <w:szCs w:val="20"/>
        </w:rPr>
        <w:t>,</w:t>
      </w:r>
      <w:r w:rsidR="00D42AB2" w:rsidRPr="009A6D59">
        <w:rPr>
          <w:rFonts w:ascii="Arial" w:hAnsi="Arial" w:cs="Arial"/>
          <w:sz w:val="20"/>
          <w:szCs w:val="20"/>
        </w:rPr>
        <w:t xml:space="preserve"> 3</w:t>
      </w:r>
      <w:r w:rsidR="005437C9" w:rsidRPr="009A6D59">
        <w:rPr>
          <w:rFonts w:ascii="Arial" w:hAnsi="Arial" w:cs="Arial"/>
          <w:sz w:val="20"/>
          <w:szCs w:val="20"/>
        </w:rPr>
        <w:t>, déchets de cuisine et de table ou cadavre d’animaux</w:t>
      </w:r>
      <w:r w:rsidR="00D42AB2" w:rsidRPr="009A6D59">
        <w:rPr>
          <w:rFonts w:ascii="Arial" w:hAnsi="Arial" w:cs="Arial"/>
          <w:sz w:val="20"/>
          <w:szCs w:val="20"/>
        </w:rPr>
        <w:t>)</w:t>
      </w:r>
      <w:r w:rsidR="00CB239E" w:rsidRPr="009A6D59">
        <w:rPr>
          <w:rFonts w:ascii="Arial" w:hAnsi="Arial" w:cs="Arial"/>
          <w:sz w:val="20"/>
          <w:szCs w:val="20"/>
        </w:rPr>
        <w:t>.</w:t>
      </w:r>
      <w:r w:rsidR="00E0759C" w:rsidRPr="009A6D59">
        <w:rPr>
          <w:sz w:val="20"/>
          <w:szCs w:val="20"/>
        </w:rPr>
        <w:t xml:space="preserve"> </w:t>
      </w:r>
      <w:bookmarkStart w:id="0" w:name="comptabilisé"/>
      <w:bookmarkEnd w:id="0"/>
    </w:p>
    <w:tbl>
      <w:tblPr>
        <w:tblW w:w="92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676"/>
        <w:gridCol w:w="4252"/>
        <w:gridCol w:w="1152"/>
      </w:tblGrid>
      <w:tr w:rsidR="000E5EB0" w:rsidRPr="000E5EB0" w:rsidTr="000E5EB0">
        <w:trPr>
          <w:cantSplit/>
          <w:trHeight w:val="362"/>
        </w:trPr>
        <w:tc>
          <w:tcPr>
            <w:tcW w:w="1152" w:type="dxa"/>
            <w:shd w:val="clear" w:color="auto" w:fill="31849B" w:themeFill="accent5" w:themeFillShade="BF"/>
            <w:vAlign w:val="center"/>
          </w:tcPr>
          <w:p w:rsidR="00052069" w:rsidRPr="000E5EB0" w:rsidRDefault="00052069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E5EB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 xml:space="preserve">Sous rubrique </w:t>
            </w:r>
          </w:p>
        </w:tc>
        <w:tc>
          <w:tcPr>
            <w:tcW w:w="2676" w:type="dxa"/>
            <w:shd w:val="clear" w:color="auto" w:fill="31849B" w:themeFill="accent5" w:themeFillShade="BF"/>
            <w:vAlign w:val="center"/>
          </w:tcPr>
          <w:p w:rsidR="00052069" w:rsidRPr="000E5EB0" w:rsidRDefault="00052069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E5EB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 xml:space="preserve">Type de </w:t>
            </w:r>
            <w:r w:rsidR="00CB239E" w:rsidRPr="000E5EB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déchets animaux</w:t>
            </w:r>
          </w:p>
        </w:tc>
        <w:tc>
          <w:tcPr>
            <w:tcW w:w="4252" w:type="dxa"/>
            <w:shd w:val="clear" w:color="auto" w:fill="31849B" w:themeFill="accent5" w:themeFillShade="BF"/>
            <w:vAlign w:val="center"/>
          </w:tcPr>
          <w:p w:rsidR="00052069" w:rsidRPr="000E5EB0" w:rsidRDefault="000E5EB0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E5EB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Remarques</w:t>
            </w:r>
          </w:p>
        </w:tc>
        <w:tc>
          <w:tcPr>
            <w:tcW w:w="1152" w:type="dxa"/>
            <w:shd w:val="clear" w:color="auto" w:fill="31849B" w:themeFill="accent5" w:themeFillShade="BF"/>
            <w:vAlign w:val="center"/>
          </w:tcPr>
          <w:p w:rsidR="00052069" w:rsidRPr="000E5EB0" w:rsidRDefault="00156005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0E5EB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Seuil</w:t>
            </w:r>
          </w:p>
        </w:tc>
      </w:tr>
      <w:tr w:rsidR="00052069" w:rsidRPr="003540C1" w:rsidTr="002B2A23">
        <w:trPr>
          <w:cantSplit/>
          <w:trHeight w:val="362"/>
        </w:trPr>
        <w:tc>
          <w:tcPr>
            <w:tcW w:w="1152" w:type="dxa"/>
            <w:vAlign w:val="center"/>
          </w:tcPr>
          <w:p w:rsidR="00052069" w:rsidRPr="00CB239E" w:rsidRDefault="00052069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>106 A</w:t>
            </w:r>
          </w:p>
        </w:tc>
        <w:tc>
          <w:tcPr>
            <w:tcW w:w="2676" w:type="dxa"/>
            <w:vAlign w:val="center"/>
          </w:tcPr>
          <w:p w:rsidR="00052069" w:rsidRPr="00CB239E" w:rsidRDefault="00DE7E56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w:anchor="Cat_3" w:history="1">
              <w:r w:rsidR="00052069" w:rsidRPr="00CF4D4E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Cat</w:t>
              </w:r>
              <w:r w:rsidR="00CB239E" w:rsidRPr="00CF4D4E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égorie 3</w:t>
              </w:r>
            </w:hyperlink>
            <w:r w:rsidR="00CB239E"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052069" w:rsidRPr="00CB239E" w:rsidRDefault="00CB239E" w:rsidP="00A42CCB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 w:right="113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 l’exclusion des </w:t>
            </w:r>
            <w:hyperlink w:anchor="DCT" w:history="1">
              <w:r w:rsidRPr="00F9046B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déchets de cuisine et de ta</w:t>
              </w:r>
              <w:r w:rsidRPr="00F9046B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b</w:t>
              </w:r>
              <w:r w:rsidRPr="00F9046B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le</w:t>
              </w:r>
            </w:hyperlink>
          </w:p>
        </w:tc>
        <w:tc>
          <w:tcPr>
            <w:tcW w:w="1152" w:type="dxa"/>
            <w:vAlign w:val="center"/>
          </w:tcPr>
          <w:p w:rsidR="00052069" w:rsidRPr="00CB239E" w:rsidRDefault="00CB239E" w:rsidP="00A42CCB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De 25 à </w:t>
            </w:r>
            <w:r w:rsidR="00A42CCB">
              <w:rPr>
                <w:rFonts w:ascii="Arial" w:hAnsi="Arial" w:cs="Arial"/>
                <w:bCs/>
                <w:sz w:val="20"/>
                <w:szCs w:val="20"/>
                <w:lang w:val="fr-FR"/>
              </w:rPr>
              <w:t>10</w:t>
            </w:r>
            <w:r w:rsidR="00E0759C">
              <w:rPr>
                <w:rFonts w:ascii="Arial" w:hAnsi="Arial" w:cs="Arial"/>
                <w:bCs/>
                <w:sz w:val="20"/>
                <w:szCs w:val="20"/>
                <w:lang w:val="fr-FR"/>
              </w:rPr>
              <w:t>00</w:t>
            </w:r>
            <w:r w:rsidR="00E0759C"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>kg</w:t>
            </w:r>
            <w:r w:rsidR="00A42CCB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052069" w:rsidRPr="003540C1" w:rsidTr="002B2A23">
        <w:trPr>
          <w:cantSplit/>
          <w:trHeight w:val="362"/>
        </w:trPr>
        <w:tc>
          <w:tcPr>
            <w:tcW w:w="1152" w:type="dxa"/>
            <w:vAlign w:val="center"/>
          </w:tcPr>
          <w:p w:rsidR="00052069" w:rsidRPr="00CB239E" w:rsidRDefault="00052069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>106 B</w:t>
            </w:r>
          </w:p>
        </w:tc>
        <w:tc>
          <w:tcPr>
            <w:tcW w:w="2676" w:type="dxa"/>
            <w:vAlign w:val="center"/>
          </w:tcPr>
          <w:p w:rsidR="00052069" w:rsidRPr="00CB239E" w:rsidRDefault="00DE7E56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w:anchor="cat_1" w:history="1">
              <w:r w:rsidR="00052069" w:rsidRPr="00156005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Cat</w:t>
              </w:r>
              <w:r w:rsidR="00CB239E" w:rsidRPr="00156005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égorie</w:t>
              </w:r>
              <w:r w:rsidR="00052069" w:rsidRPr="00156005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 xml:space="preserve"> 1</w:t>
              </w:r>
            </w:hyperlink>
            <w:r w:rsidR="00052069"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et </w:t>
            </w:r>
            <w:hyperlink w:anchor="Cat_2" w:history="1">
              <w:r w:rsidR="00CF4D4E" w:rsidRPr="00CF4D4E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 xml:space="preserve">Catégorie </w:t>
              </w:r>
              <w:r w:rsidR="00052069" w:rsidRPr="00CF4D4E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2</w:t>
              </w:r>
            </w:hyperlink>
          </w:p>
        </w:tc>
        <w:tc>
          <w:tcPr>
            <w:tcW w:w="4252" w:type="dxa"/>
            <w:vAlign w:val="center"/>
          </w:tcPr>
          <w:p w:rsidR="00052069" w:rsidRPr="00CB239E" w:rsidRDefault="00630DB9" w:rsidP="00A42CCB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 w:right="113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A l’exclusion de cadavres d’animaux</w:t>
            </w:r>
            <w:r w:rsidR="00084A33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et du fumier*</w:t>
            </w:r>
          </w:p>
        </w:tc>
        <w:tc>
          <w:tcPr>
            <w:tcW w:w="1152" w:type="dxa"/>
            <w:vAlign w:val="center"/>
          </w:tcPr>
          <w:p w:rsidR="00052069" w:rsidRPr="00CB239E" w:rsidRDefault="00CB239E" w:rsidP="00A42CCB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De 0 à </w:t>
            </w:r>
            <w:r w:rsidR="00A42CCB">
              <w:rPr>
                <w:rFonts w:ascii="Arial" w:hAnsi="Arial" w:cs="Arial"/>
                <w:bCs/>
                <w:sz w:val="20"/>
                <w:szCs w:val="20"/>
                <w:lang w:val="fr-FR"/>
              </w:rPr>
              <w:t>1000</w:t>
            </w:r>
            <w:r w:rsidR="00A42CCB"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>kg</w:t>
            </w:r>
          </w:p>
        </w:tc>
      </w:tr>
      <w:tr w:rsidR="0038122D" w:rsidRPr="003540C1" w:rsidTr="002B2A23">
        <w:trPr>
          <w:cantSplit/>
          <w:trHeight w:val="362"/>
        </w:trPr>
        <w:tc>
          <w:tcPr>
            <w:tcW w:w="1152" w:type="dxa"/>
            <w:vAlign w:val="center"/>
          </w:tcPr>
          <w:p w:rsidR="0038122D" w:rsidRPr="00CB239E" w:rsidRDefault="0038122D" w:rsidP="00A42CCB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106 </w:t>
            </w:r>
            <w:r w:rsidR="00A42CCB">
              <w:rPr>
                <w:rFonts w:ascii="Arial" w:hAnsi="Arial" w:cs="Arial"/>
                <w:bCs/>
                <w:sz w:val="20"/>
                <w:szCs w:val="20"/>
                <w:lang w:val="fr-FR"/>
              </w:rPr>
              <w:t>C</w:t>
            </w:r>
          </w:p>
        </w:tc>
        <w:tc>
          <w:tcPr>
            <w:tcW w:w="2676" w:type="dxa"/>
            <w:vAlign w:val="center"/>
          </w:tcPr>
          <w:p w:rsidR="0038122D" w:rsidRPr="00CB239E" w:rsidRDefault="00DE7E56" w:rsidP="005F1725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w:anchor="Cadavres" w:history="1">
              <w:r w:rsidR="0038122D" w:rsidRPr="00CF4D4E"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Cadavres animaux</w:t>
              </w:r>
            </w:hyperlink>
          </w:p>
        </w:tc>
        <w:tc>
          <w:tcPr>
            <w:tcW w:w="4252" w:type="dxa"/>
            <w:vAlign w:val="center"/>
          </w:tcPr>
          <w:p w:rsidR="0038122D" w:rsidRPr="003732B2" w:rsidRDefault="0038122D" w:rsidP="005F1725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732B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/</w:t>
            </w:r>
          </w:p>
        </w:tc>
        <w:tc>
          <w:tcPr>
            <w:tcW w:w="1152" w:type="dxa"/>
            <w:vAlign w:val="center"/>
          </w:tcPr>
          <w:p w:rsidR="0038122D" w:rsidRPr="00CB239E" w:rsidRDefault="00A42CCB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De</w:t>
            </w:r>
            <w:r w:rsidR="0038122D"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250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à</w:t>
            </w:r>
            <w:r w:rsidR="0038122D"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1000 kg</w:t>
            </w:r>
          </w:p>
        </w:tc>
      </w:tr>
      <w:tr w:rsidR="00052069" w:rsidRPr="003540C1" w:rsidTr="002B2A23">
        <w:trPr>
          <w:cantSplit/>
          <w:trHeight w:val="362"/>
        </w:trPr>
        <w:tc>
          <w:tcPr>
            <w:tcW w:w="1152" w:type="dxa"/>
            <w:vAlign w:val="center"/>
          </w:tcPr>
          <w:p w:rsidR="00052069" w:rsidRPr="00CB239E" w:rsidRDefault="00052069" w:rsidP="00A42CCB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106 </w:t>
            </w:r>
            <w:r w:rsidR="00A42CCB">
              <w:rPr>
                <w:rFonts w:ascii="Arial" w:hAnsi="Arial" w:cs="Arial"/>
                <w:bCs/>
                <w:sz w:val="20"/>
                <w:szCs w:val="20"/>
                <w:lang w:val="fr-FR"/>
              </w:rPr>
              <w:t>D</w:t>
            </w:r>
          </w:p>
        </w:tc>
        <w:tc>
          <w:tcPr>
            <w:tcW w:w="2676" w:type="dxa"/>
            <w:vAlign w:val="center"/>
          </w:tcPr>
          <w:p w:rsidR="00052069" w:rsidRPr="00653BBA" w:rsidRDefault="00A42CCB" w:rsidP="00A42CCB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53BBA">
              <w:rPr>
                <w:rFonts w:ascii="Arial" w:hAnsi="Arial" w:cs="Arial"/>
                <w:sz w:val="20"/>
                <w:szCs w:val="20"/>
                <w:lang w:val="fr-FR"/>
              </w:rPr>
              <w:t>Catégorie</w:t>
            </w:r>
            <w:r w:rsidRPr="00653BBA">
              <w:rPr>
                <w:rFonts w:ascii="Arial" w:hAnsi="Arial" w:cs="Arial"/>
                <w:sz w:val="20"/>
                <w:szCs w:val="20"/>
              </w:rPr>
              <w:t xml:space="preserve"> 1, 2 ou 3</w:t>
            </w:r>
          </w:p>
        </w:tc>
        <w:tc>
          <w:tcPr>
            <w:tcW w:w="4252" w:type="dxa"/>
            <w:vAlign w:val="center"/>
          </w:tcPr>
          <w:p w:rsidR="00052069" w:rsidRPr="007B66AE" w:rsidRDefault="00A42CCB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Peu importe la catégorie, y</w:t>
            </w:r>
            <w:r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compris les cadavres et les </w:t>
            </w:r>
            <w:r w:rsidRPr="00653BBA">
              <w:rPr>
                <w:rFonts w:ascii="Arial" w:hAnsi="Arial" w:cs="Arial"/>
                <w:sz w:val="20"/>
                <w:szCs w:val="20"/>
                <w:lang w:val="fr-FR"/>
              </w:rPr>
              <w:t>déchets de cuisine et de table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  <w:r w:rsidRPr="007E3E3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à l’exclusion du fumier*</w:t>
            </w:r>
          </w:p>
        </w:tc>
        <w:tc>
          <w:tcPr>
            <w:tcW w:w="1152" w:type="dxa"/>
            <w:vAlign w:val="center"/>
          </w:tcPr>
          <w:p w:rsidR="00052069" w:rsidRPr="00CB239E" w:rsidRDefault="0038122D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&gt;</w:t>
            </w:r>
            <w:r w:rsidR="00CB239E" w:rsidRPr="00CB239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1000 kg</w:t>
            </w:r>
          </w:p>
        </w:tc>
      </w:tr>
    </w:tbl>
    <w:p w:rsidR="000773DC" w:rsidRPr="009A6D59" w:rsidRDefault="00084A33">
      <w:pPr>
        <w:rPr>
          <w:rFonts w:ascii="Arial" w:hAnsi="Arial" w:cs="Arial"/>
          <w:sz w:val="20"/>
          <w:szCs w:val="20"/>
        </w:rPr>
      </w:pPr>
      <w:r w:rsidRPr="009A6D59">
        <w:rPr>
          <w:rFonts w:ascii="Arial" w:hAnsi="Arial" w:cs="Arial"/>
          <w:sz w:val="20"/>
          <w:szCs w:val="20"/>
        </w:rPr>
        <w:t>*les dépôts de fumier sont concernés par la rubrique 66 (</w:t>
      </w:r>
      <w:proofErr w:type="spellStart"/>
      <w:r w:rsidRPr="009A6D59">
        <w:rPr>
          <w:rFonts w:ascii="Arial" w:hAnsi="Arial" w:cs="Arial"/>
          <w:sz w:val="20"/>
          <w:szCs w:val="20"/>
        </w:rPr>
        <w:t>àpd</w:t>
      </w:r>
      <w:proofErr w:type="spellEnd"/>
      <w:r w:rsidRPr="009A6D59">
        <w:rPr>
          <w:rFonts w:ascii="Arial" w:hAnsi="Arial" w:cs="Arial"/>
          <w:sz w:val="20"/>
          <w:szCs w:val="20"/>
        </w:rPr>
        <w:t xml:space="preserve"> 300 kg)</w:t>
      </w:r>
    </w:p>
    <w:p w:rsidR="00E0759C" w:rsidRPr="009A6D59" w:rsidRDefault="00E0759C">
      <w:pPr>
        <w:rPr>
          <w:rFonts w:ascii="Arial" w:hAnsi="Arial" w:cs="Arial"/>
          <w:b/>
          <w:sz w:val="24"/>
        </w:rPr>
      </w:pPr>
      <w:r w:rsidRPr="009A6D59">
        <w:rPr>
          <w:rFonts w:ascii="Arial" w:hAnsi="Arial" w:cs="Arial"/>
          <w:b/>
          <w:sz w:val="24"/>
        </w:rPr>
        <w:t>Quelle catégorie ?</w:t>
      </w:r>
    </w:p>
    <w:p w:rsidR="00052069" w:rsidRPr="009A6D59" w:rsidRDefault="00CB239E">
      <w:pPr>
        <w:rPr>
          <w:rFonts w:ascii="Arial" w:hAnsi="Arial" w:cs="Arial"/>
          <w:sz w:val="20"/>
          <w:szCs w:val="20"/>
        </w:rPr>
      </w:pPr>
      <w:r w:rsidRPr="009A6D59">
        <w:rPr>
          <w:rFonts w:ascii="Arial" w:hAnsi="Arial" w:cs="Arial"/>
          <w:sz w:val="20"/>
          <w:szCs w:val="20"/>
        </w:rPr>
        <w:t xml:space="preserve">Pour connaître la ou les catégorie(s) de déchets animaux que vous stockez, </w:t>
      </w:r>
      <w:proofErr w:type="spellStart"/>
      <w:r w:rsidRPr="009A6D59">
        <w:rPr>
          <w:rFonts w:ascii="Arial" w:hAnsi="Arial" w:cs="Arial"/>
          <w:sz w:val="20"/>
          <w:szCs w:val="20"/>
        </w:rPr>
        <w:t>veuillez vous</w:t>
      </w:r>
      <w:proofErr w:type="spellEnd"/>
      <w:r w:rsidRPr="009A6D59">
        <w:rPr>
          <w:rFonts w:ascii="Arial" w:hAnsi="Arial" w:cs="Arial"/>
          <w:sz w:val="20"/>
          <w:szCs w:val="20"/>
        </w:rPr>
        <w:t xml:space="preserve"> référer au tableau ci-après :</w:t>
      </w:r>
    </w:p>
    <w:tbl>
      <w:tblPr>
        <w:tblW w:w="92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4257"/>
        <w:gridCol w:w="1151"/>
      </w:tblGrid>
      <w:tr w:rsidR="00CB239E" w:rsidRPr="003540C1" w:rsidTr="00F27A71">
        <w:trPr>
          <w:cantSplit/>
          <w:trHeight w:val="362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954B0" w:rsidRDefault="00CB239E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</w:pPr>
            <w:bookmarkStart w:id="1" w:name="cat_1"/>
            <w:r w:rsidRPr="00CB239E"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>Catégorie 1</w:t>
            </w:r>
            <w:bookmarkEnd w:id="1"/>
            <w:r w:rsidR="00C71B43"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 xml:space="preserve"> </w:t>
            </w:r>
            <w:r w:rsidR="000954B0" w:rsidRPr="000954B0">
              <w:rPr>
                <w:rFonts w:ascii="Arial" w:hAnsi="Arial" w:cs="Arial"/>
                <w:bCs/>
                <w:sz w:val="24"/>
                <w:szCs w:val="20"/>
                <w:lang w:val="fr-FR"/>
              </w:rPr>
              <w:t>à l’exclusion des cadavres</w:t>
            </w:r>
            <w:r w:rsidR="000954B0"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 xml:space="preserve"> </w:t>
            </w:r>
          </w:p>
          <w:p w:rsidR="00CB239E" w:rsidRPr="00CB239E" w:rsidRDefault="00C71B43" w:rsidP="00A42CCB">
            <w:pPr>
              <w:tabs>
                <w:tab w:val="left" w:pos="-720"/>
              </w:tabs>
              <w:suppressAutoHyphens/>
              <w:spacing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C71B43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 xml:space="preserve">(rubrique 106 B ou 106 </w:t>
            </w:r>
            <w:r w:rsidR="00A42CCB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>D</w:t>
            </w:r>
            <w:r w:rsidRPr="00C71B43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>)</w:t>
            </w:r>
          </w:p>
        </w:tc>
      </w:tr>
      <w:tr w:rsidR="00CB239E" w:rsidRPr="003540C1" w:rsidTr="00156005">
        <w:trPr>
          <w:cantSplit/>
          <w:trHeight w:val="36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9E" w:rsidRPr="003540C1" w:rsidRDefault="00CB239E" w:rsidP="00CB239E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Description du déchet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9E" w:rsidRPr="007B66AE" w:rsidRDefault="000E5EB0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9E" w:rsidRPr="003540C1" w:rsidRDefault="00CB239E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Quantité maximale</w:t>
            </w:r>
            <w:r w:rsidR="006F26B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stockée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CB239E" w:rsidRPr="003540C1" w:rsidTr="00156005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E" w:rsidRPr="003540C1" w:rsidRDefault="00DE7E56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w:anchor="MRS" w:history="1">
              <w:r w:rsidR="00CB239E" w:rsidRPr="00F27A71">
                <w:rPr>
                  <w:rStyle w:val="Lienhypertexte"/>
                  <w:rFonts w:ascii="Arial" w:hAnsi="Arial" w:cs="Arial"/>
                  <w:sz w:val="20"/>
                  <w:szCs w:val="20"/>
                </w:rPr>
                <w:t>Matériels à risque spécifiés</w:t>
              </w:r>
            </w:hyperlink>
            <w:r w:rsidR="00CB239E" w:rsidRPr="003540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8" w:rsidRPr="007B66AE" w:rsidRDefault="005C293A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Liés à l’encéphalopathie spongiforme bovine.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E" w:rsidRPr="003540C1" w:rsidRDefault="00CB239E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5" w:rsidRPr="003540C1" w:rsidTr="00156005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05" w:rsidRPr="003540C1" w:rsidRDefault="00156005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40C1">
              <w:rPr>
                <w:rFonts w:ascii="Arial" w:hAnsi="Arial" w:cs="Arial"/>
                <w:sz w:val="20"/>
                <w:szCs w:val="20"/>
              </w:rPr>
              <w:t>Déchets animaux collectés lors du traitement des eaux résiduaires, auprès des établissements qui retirent ou transforment des matières de catégorie 1</w:t>
            </w:r>
            <w:r w:rsidR="000773DC">
              <w:rPr>
                <w:rFonts w:ascii="Arial" w:hAnsi="Arial" w:cs="Arial"/>
                <w:sz w:val="20"/>
                <w:szCs w:val="20"/>
              </w:rPr>
              <w:t xml:space="preserve"> ou qui retirent des </w:t>
            </w:r>
            <w:hyperlink w:anchor="MRS" w:history="1">
              <w:r w:rsidR="000773DC" w:rsidRPr="00691CF3">
                <w:rPr>
                  <w:rStyle w:val="Lienhypertexte"/>
                  <w:rFonts w:ascii="Arial" w:hAnsi="Arial" w:cs="Arial"/>
                  <w:sz w:val="20"/>
                  <w:szCs w:val="20"/>
                </w:rPr>
                <w:t>MRS</w:t>
              </w:r>
            </w:hyperlink>
            <w:r w:rsidRPr="003540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A" w:rsidRDefault="00156005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B66AE">
              <w:rPr>
                <w:rFonts w:ascii="Arial" w:hAnsi="Arial" w:cs="Arial"/>
                <w:sz w:val="20"/>
                <w:szCs w:val="20"/>
              </w:rPr>
              <w:t xml:space="preserve">Résidus de grille provenant des eaux usées filtrées par une grille dont les mailles font maximum 6 </w:t>
            </w:r>
            <w:proofErr w:type="spellStart"/>
            <w:r w:rsidRPr="007B66AE">
              <w:rPr>
                <w:rFonts w:ascii="Arial" w:hAnsi="Arial" w:cs="Arial"/>
                <w:sz w:val="20"/>
                <w:szCs w:val="20"/>
              </w:rPr>
              <w:t>mm.</w:t>
            </w:r>
            <w:proofErr w:type="spellEnd"/>
            <w:r w:rsidR="005C29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6005" w:rsidRPr="007B66AE" w:rsidRDefault="005C293A" w:rsidP="005C293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présence d’une telle grille, l</w:t>
            </w:r>
            <w:r w:rsidR="00156005">
              <w:rPr>
                <w:rFonts w:ascii="Arial" w:hAnsi="Arial" w:cs="Arial"/>
                <w:sz w:val="20"/>
                <w:szCs w:val="20"/>
              </w:rPr>
              <w:t>es graisses de d</w:t>
            </w:r>
            <w:r w:rsidR="000E5EB0">
              <w:rPr>
                <w:rFonts w:ascii="Arial" w:hAnsi="Arial" w:cs="Arial"/>
                <w:sz w:val="20"/>
                <w:szCs w:val="20"/>
              </w:rPr>
              <w:t>égraisseur ne sont pas incluses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05" w:rsidRPr="003540C1" w:rsidRDefault="00156005" w:rsidP="00EC679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189" w:rsidRPr="003540C1" w:rsidTr="00233ABD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9" w:rsidRPr="003540C1" w:rsidRDefault="00935189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40C1">
              <w:rPr>
                <w:rFonts w:ascii="Arial" w:hAnsi="Arial" w:cs="Arial"/>
                <w:sz w:val="20"/>
                <w:szCs w:val="20"/>
              </w:rPr>
              <w:t>Déchets animaux contenant des résidus de produits non autorisés</w:t>
            </w:r>
            <w:r>
              <w:rPr>
                <w:rFonts w:ascii="Arial" w:hAnsi="Arial" w:cs="Arial"/>
                <w:sz w:val="20"/>
                <w:szCs w:val="20"/>
              </w:rPr>
              <w:t xml:space="preserve"> dépassant les niveaux autorisés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9" w:rsidRPr="007B66AE" w:rsidRDefault="00935189" w:rsidP="002B2A23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P</w:t>
            </w:r>
            <w:r w:rsidRPr="007B66AE">
              <w:rPr>
                <w:rFonts w:ascii="Arial" w:hAnsi="Arial" w:cs="Arial"/>
                <w:sz w:val="20"/>
                <w:szCs w:val="20"/>
              </w:rPr>
              <w:t xml:space="preserve">roduits non autorisés » : cf. liste du groupe B, point 3), de l’annexe I de la </w:t>
            </w:r>
            <w:hyperlink r:id="rId8" w:history="1">
              <w:r w:rsidRPr="00935189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directive 96/23/CE</w:t>
              </w:r>
            </w:hyperlink>
            <w:r w:rsidRPr="007B66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9" w:rsidRPr="003540C1" w:rsidRDefault="00935189" w:rsidP="00233ABD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717" w:rsidRPr="003540C1" w:rsidTr="00084F57">
        <w:trPr>
          <w:cantSplit/>
          <w:trHeight w:val="3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7" w:rsidRPr="003540C1" w:rsidRDefault="00291717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Déchets animaux dérivés d’animaux qui ont fait l’objet d’un traitement illégal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7" w:rsidRPr="007B66AE" w:rsidRDefault="00935189" w:rsidP="0064534C">
            <w:pPr>
              <w:suppressAutoHyphens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7" w:rsidRPr="003540C1" w:rsidRDefault="00291717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717" w:rsidRPr="003540C1" w:rsidTr="00CF2E80">
        <w:trPr>
          <w:cantSplit/>
          <w:trHeight w:val="3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7" w:rsidRPr="003540C1" w:rsidRDefault="00DE7E56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w:anchor="DCT" w:history="1">
              <w:r w:rsidR="00291717" w:rsidRPr="00F9046B">
                <w:rPr>
                  <w:rStyle w:val="Lienhypertexte"/>
                  <w:rFonts w:ascii="Arial" w:hAnsi="Arial" w:cs="Arial"/>
                  <w:sz w:val="20"/>
                  <w:szCs w:val="20"/>
                </w:rPr>
                <w:t>Déchets de cuisine et de table</w:t>
              </w:r>
            </w:hyperlink>
            <w:r w:rsidR="00291717" w:rsidRPr="003540C1">
              <w:rPr>
                <w:rFonts w:ascii="Arial" w:hAnsi="Arial" w:cs="Arial"/>
                <w:sz w:val="20"/>
                <w:szCs w:val="20"/>
              </w:rPr>
              <w:t xml:space="preserve"> provenant de moyens de transport international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7" w:rsidRPr="007B66AE" w:rsidRDefault="00291717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I</w:t>
            </w:r>
            <w:r w:rsidRPr="007B66AE">
              <w:rPr>
                <w:rFonts w:ascii="Arial" w:hAnsi="Arial" w:cs="Arial"/>
                <w:sz w:val="20"/>
                <w:szCs w:val="20"/>
              </w:rPr>
              <w:t>nternational » = hors Europe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7" w:rsidRPr="003540C1" w:rsidRDefault="00291717" w:rsidP="00CF2E8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717" w:rsidRPr="003540C1" w:rsidTr="005C621D">
        <w:trPr>
          <w:cantSplit/>
          <w:trHeight w:val="2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7" w:rsidRPr="003540C1" w:rsidRDefault="00291717" w:rsidP="002B2A23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40C1">
              <w:rPr>
                <w:rFonts w:ascii="Arial" w:hAnsi="Arial" w:cs="Arial"/>
                <w:sz w:val="20"/>
                <w:szCs w:val="20"/>
              </w:rPr>
              <w:t>Les mélanges de matières de catégorie 1 avec des matières des catégories 2 et/ou 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7" w:rsidRPr="007B66AE" w:rsidRDefault="00291717" w:rsidP="0064534C">
            <w:pPr>
              <w:tabs>
                <w:tab w:val="left" w:pos="0"/>
              </w:tabs>
              <w:suppressAutoHyphens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6A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17" w:rsidRPr="003540C1" w:rsidRDefault="00291717" w:rsidP="00EE2D7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5" w:rsidRPr="003540C1" w:rsidTr="005C621D">
        <w:trPr>
          <w:cantSplit/>
          <w:trHeight w:val="609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3DC" w:rsidRPr="00DC5B4A" w:rsidRDefault="00156005" w:rsidP="00156005">
            <w:pPr>
              <w:suppressAutoHyphens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CAT 1</w:t>
            </w:r>
            <w:r w:rsidR="000E5EB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à l’exclusion des cadavres</w:t>
            </w:r>
            <w:r w:rsidR="000773DC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005" w:rsidRPr="003540C1" w:rsidRDefault="00156005" w:rsidP="0015600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19C4" w:rsidRDefault="003819C4"/>
    <w:p w:rsidR="002B2A23" w:rsidRDefault="002B2A23"/>
    <w:tbl>
      <w:tblPr>
        <w:tblW w:w="92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4257"/>
        <w:gridCol w:w="1151"/>
      </w:tblGrid>
      <w:tr w:rsidR="000E5EB0" w:rsidRPr="00156005" w:rsidTr="000E5EB0">
        <w:trPr>
          <w:cantSplit/>
          <w:trHeight w:val="519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bookmarkStart w:id="2" w:name="Cadavres"/>
          <w:p w:rsidR="000954B0" w:rsidRDefault="00F9046B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fldChar w:fldCharType="begin"/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instrText xml:space="preserve"> HYPERLINK  \l "Cadavres" </w:instrTex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fldChar w:fldCharType="separate"/>
            </w:r>
            <w:r w:rsidR="000E5EB0" w:rsidRPr="00F9046B">
              <w:rPr>
                <w:rStyle w:val="Lienhypertexte"/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>Cadavres</w:t>
            </w:r>
            <w:bookmarkEnd w:id="2"/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fldChar w:fldCharType="end"/>
            </w:r>
            <w:r w:rsidR="00C71B43"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 xml:space="preserve"> </w:t>
            </w:r>
          </w:p>
          <w:p w:rsidR="000E5EB0" w:rsidRPr="00156005" w:rsidRDefault="00C71B43" w:rsidP="00A42CCB">
            <w:pPr>
              <w:tabs>
                <w:tab w:val="left" w:pos="-720"/>
              </w:tabs>
              <w:suppressAutoHyphens/>
              <w:spacing w:after="120" w:line="240" w:lineRule="auto"/>
              <w:ind w:left="-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B43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 xml:space="preserve">(rubrique </w:t>
            </w:r>
            <w:r w:rsidR="00E86560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 xml:space="preserve">106 </w:t>
            </w:r>
            <w:r w:rsidR="00A42CCB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 xml:space="preserve">C </w:t>
            </w:r>
            <w:r w:rsidR="0038122D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 xml:space="preserve">ou 106 </w:t>
            </w:r>
            <w:r w:rsidR="00A42CCB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>D</w:t>
            </w:r>
            <w:r w:rsidRPr="00C71B43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>)</w:t>
            </w:r>
          </w:p>
        </w:tc>
      </w:tr>
      <w:tr w:rsidR="000E5EB0" w:rsidRPr="003540C1" w:rsidTr="00084F57">
        <w:trPr>
          <w:cantSplit/>
          <w:trHeight w:val="36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3540C1" w:rsidRDefault="000E5EB0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Description du déchet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7B66AE" w:rsidRDefault="005C293A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3540C1" w:rsidRDefault="000E5EB0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Quantité maximale </w:t>
            </w:r>
          </w:p>
        </w:tc>
      </w:tr>
      <w:tr w:rsidR="000E5EB0" w:rsidRPr="003540C1" w:rsidTr="00084F57">
        <w:trPr>
          <w:cantSplit/>
          <w:trHeight w:val="51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3540C1" w:rsidRDefault="00F1626D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E7E56">
              <w:rPr>
                <w:rFonts w:ascii="Arial" w:hAnsi="Arial" w:cs="Arial"/>
                <w:sz w:val="20"/>
                <w:szCs w:val="20"/>
              </w:rPr>
              <w:t>Cadavres</w:t>
            </w:r>
            <w:r w:rsidR="000E5EB0" w:rsidRPr="00DE7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93A">
              <w:rPr>
                <w:rFonts w:ascii="Arial" w:hAnsi="Arial" w:cs="Arial"/>
                <w:sz w:val="20"/>
                <w:szCs w:val="20"/>
              </w:rPr>
              <w:t xml:space="preserve">et parties du corps (y compris cuirs et peaux) </w:t>
            </w:r>
            <w:r w:rsidR="000E5EB0">
              <w:rPr>
                <w:rFonts w:ascii="Arial" w:hAnsi="Arial" w:cs="Arial"/>
                <w:sz w:val="20"/>
                <w:szCs w:val="20"/>
              </w:rPr>
              <w:t xml:space="preserve">d’animaux susceptibles d’être infectés par une maladie transmissible à l’homme ou à l’animal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7B66AE" w:rsidRDefault="000E5EB0" w:rsidP="002B2A23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compris cadavres qui contiennent des matériels à risque spécifiés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3540C1" w:rsidRDefault="000E5EB0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EB0" w:rsidRPr="003540C1" w:rsidTr="00084F57">
        <w:trPr>
          <w:cantSplit/>
          <w:trHeight w:val="51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3540C1" w:rsidRDefault="00F1626D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E7E56">
              <w:rPr>
                <w:rFonts w:ascii="Arial" w:hAnsi="Arial" w:cs="Arial"/>
                <w:sz w:val="20"/>
                <w:szCs w:val="20"/>
              </w:rPr>
              <w:t>Cadavres</w:t>
            </w:r>
            <w:r w:rsidR="005C293A" w:rsidRPr="00DE7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93A">
              <w:rPr>
                <w:rFonts w:ascii="Arial" w:hAnsi="Arial" w:cs="Arial"/>
                <w:sz w:val="20"/>
                <w:szCs w:val="20"/>
              </w:rPr>
              <w:t xml:space="preserve">et parties du corps (y compris cuirs et peaux) </w:t>
            </w:r>
            <w:hyperlink w:anchor="animal_familier" w:history="1">
              <w:r w:rsidR="005C293A" w:rsidRPr="00F9046B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d’animaux </w:t>
              </w:r>
              <w:r w:rsidR="00C71B43" w:rsidRPr="00F9046B">
                <w:rPr>
                  <w:rStyle w:val="Lienhypertexte"/>
                  <w:rFonts w:ascii="Arial" w:hAnsi="Arial" w:cs="Arial"/>
                  <w:sz w:val="20"/>
                  <w:szCs w:val="20"/>
                </w:rPr>
                <w:t>familiers</w:t>
              </w:r>
            </w:hyperlink>
            <w:r w:rsidR="000E5EB0" w:rsidRPr="003540C1">
              <w:rPr>
                <w:rFonts w:ascii="Arial" w:hAnsi="Arial" w:cs="Arial"/>
                <w:sz w:val="20"/>
                <w:szCs w:val="20"/>
              </w:rPr>
              <w:t>, d’anim</w:t>
            </w:r>
            <w:r w:rsidR="00C71B43">
              <w:rPr>
                <w:rFonts w:ascii="Arial" w:hAnsi="Arial" w:cs="Arial"/>
                <w:sz w:val="20"/>
                <w:szCs w:val="20"/>
              </w:rPr>
              <w:t xml:space="preserve">aux de zoo et </w:t>
            </w:r>
            <w:r w:rsidR="005C293A">
              <w:rPr>
                <w:rFonts w:ascii="Arial" w:hAnsi="Arial" w:cs="Arial"/>
                <w:sz w:val="20"/>
                <w:szCs w:val="20"/>
              </w:rPr>
              <w:t>d’animaux de cirque</w:t>
            </w:r>
            <w:r w:rsidR="00C71B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7B66AE" w:rsidRDefault="005C293A" w:rsidP="002B2A23">
            <w:pPr>
              <w:pStyle w:val="Default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3540C1" w:rsidRDefault="000E5EB0" w:rsidP="0064534C">
            <w:pPr>
              <w:suppressAutoHyphens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EB0" w:rsidRPr="003540C1" w:rsidTr="00084F57">
        <w:trPr>
          <w:cantSplit/>
          <w:trHeight w:val="22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3540C1" w:rsidRDefault="00F1626D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E7E56">
              <w:rPr>
                <w:rFonts w:ascii="Arial" w:hAnsi="Arial" w:cs="Arial"/>
                <w:sz w:val="20"/>
                <w:szCs w:val="20"/>
              </w:rPr>
              <w:t>Cadavres</w:t>
            </w:r>
            <w:r w:rsidR="005C293A" w:rsidRPr="00DE7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93A">
              <w:rPr>
                <w:rFonts w:ascii="Arial" w:hAnsi="Arial" w:cs="Arial"/>
                <w:sz w:val="20"/>
                <w:szCs w:val="20"/>
              </w:rPr>
              <w:t xml:space="preserve">et parties du corps (y compris cuirs et peaux) d’animaux </w:t>
            </w:r>
            <w:r w:rsidR="000E5EB0" w:rsidRPr="003540C1">
              <w:rPr>
                <w:rFonts w:ascii="Arial" w:hAnsi="Arial" w:cs="Arial"/>
                <w:sz w:val="20"/>
                <w:szCs w:val="20"/>
              </w:rPr>
              <w:t xml:space="preserve">utilisés </w:t>
            </w:r>
            <w:r w:rsidR="00807634">
              <w:rPr>
                <w:rFonts w:ascii="Arial" w:hAnsi="Arial" w:cs="Arial"/>
                <w:sz w:val="20"/>
                <w:szCs w:val="20"/>
              </w:rPr>
              <w:t>à des fins scientifiques dans le cas où ils présentent un risque potentiel sérieux pour la santé hum</w:t>
            </w:r>
            <w:bookmarkStart w:id="3" w:name="_GoBack"/>
            <w:bookmarkEnd w:id="3"/>
            <w:r w:rsidR="00807634">
              <w:rPr>
                <w:rFonts w:ascii="Arial" w:hAnsi="Arial" w:cs="Arial"/>
                <w:sz w:val="20"/>
                <w:szCs w:val="20"/>
              </w:rPr>
              <w:t>aine ou animale.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7B66AE" w:rsidRDefault="00807634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s’agit de déchets animaux utilisés conformément à l’article 3 de la </w:t>
            </w:r>
            <w:hyperlink r:id="rId9" w:history="1">
              <w:r w:rsidRPr="00691CF3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directive 2010/63/UE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relative à la protection des animaux utilisés à des fins scientifiques.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3540C1" w:rsidRDefault="000E5EB0" w:rsidP="0064534C">
            <w:pPr>
              <w:suppressAutoHyphens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6DB" w:rsidRPr="003540C1" w:rsidTr="005C621D">
        <w:trPr>
          <w:cantSplit/>
          <w:trHeight w:val="22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B" w:rsidRPr="001937A6" w:rsidRDefault="005056DB" w:rsidP="002B2A23">
            <w:pPr>
              <w:suppressAutoHyphens/>
              <w:spacing w:before="120"/>
            </w:pPr>
            <w:r>
              <w:rPr>
                <w:rFonts w:ascii="Arial" w:hAnsi="Arial" w:cs="Arial"/>
                <w:sz w:val="20"/>
                <w:szCs w:val="20"/>
              </w:rPr>
              <w:t>Animaux et parties d’animaux qui ne sont pas de catégorie 1 ou 3</w:t>
            </w:r>
            <w:r w:rsidR="00807634">
              <w:rPr>
                <w:rFonts w:ascii="Arial" w:hAnsi="Arial" w:cs="Arial"/>
                <w:sz w:val="20"/>
                <w:szCs w:val="20"/>
              </w:rPr>
              <w:t>, d</w:t>
            </w:r>
            <w:r w:rsidRPr="00DC5B4A">
              <w:rPr>
                <w:rFonts w:ascii="Arial" w:hAnsi="Arial" w:cs="Arial"/>
                <w:sz w:val="20"/>
                <w:szCs w:val="20"/>
              </w:rPr>
              <w:t>ont la mort ne résulte pas d’un abattage ni d’une mise à mort en vue de la consommation humaine, y compris les animaux mis à mort à des fins de lutte contre une maladie</w:t>
            </w:r>
            <w:r w:rsidR="008076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34" w:rsidRPr="009D2399" w:rsidRDefault="005056DB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D2399">
              <w:rPr>
                <w:rFonts w:ascii="Arial" w:hAnsi="Arial" w:cs="Arial"/>
                <w:sz w:val="20"/>
                <w:szCs w:val="20"/>
              </w:rPr>
              <w:t>Exemples : Animaux d’élevage morts de vieillesse,  renards tués pour éradication rage…</w:t>
            </w:r>
          </w:p>
          <w:p w:rsidR="005056DB" w:rsidRDefault="005056DB" w:rsidP="0064534C">
            <w:pPr>
              <w:suppressAutoHyphens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B" w:rsidRPr="003540C1" w:rsidRDefault="005056DB" w:rsidP="0064534C">
            <w:pPr>
              <w:suppressAutoHyphens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EB0" w:rsidRPr="00F27A71" w:rsidTr="005C621D">
        <w:trPr>
          <w:cantSplit/>
          <w:trHeight w:val="66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634" w:rsidRPr="00DC5B4A" w:rsidRDefault="000E5EB0" w:rsidP="00807634">
            <w:pPr>
              <w:suppressAutoHyphens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CADAVRES</w:t>
            </w:r>
            <w:r w:rsidR="008076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EB0" w:rsidRPr="00F27A71" w:rsidRDefault="000E5EB0" w:rsidP="00084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5EB0" w:rsidRPr="00F27A71" w:rsidRDefault="000E5EB0" w:rsidP="00084F5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E5EB0" w:rsidRDefault="000E5EB0"/>
    <w:p w:rsidR="002B2A23" w:rsidRDefault="002B2A23"/>
    <w:tbl>
      <w:tblPr>
        <w:tblW w:w="92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4257"/>
        <w:gridCol w:w="1151"/>
      </w:tblGrid>
      <w:tr w:rsidR="005C293A" w:rsidRPr="003540C1" w:rsidTr="005C293A">
        <w:trPr>
          <w:cantSplit/>
          <w:trHeight w:val="362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954B0" w:rsidRDefault="005C293A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</w:pPr>
            <w:bookmarkStart w:id="4" w:name="Cat_2"/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lastRenderedPageBreak/>
              <w:t>Catégorie 2</w:t>
            </w:r>
            <w:bookmarkEnd w:id="4"/>
            <w:r w:rsidR="00C71B43"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 xml:space="preserve"> </w:t>
            </w:r>
            <w:r w:rsidR="000954B0" w:rsidRPr="000954B0">
              <w:rPr>
                <w:rFonts w:ascii="Arial" w:hAnsi="Arial" w:cs="Arial"/>
                <w:bCs/>
                <w:sz w:val="24"/>
                <w:szCs w:val="20"/>
                <w:lang w:val="fr-FR"/>
              </w:rPr>
              <w:t>à l’exclusion du fumier/lisier</w:t>
            </w:r>
            <w:r w:rsidR="00EF5E67">
              <w:rPr>
                <w:rFonts w:ascii="Arial" w:hAnsi="Arial" w:cs="Arial"/>
                <w:bCs/>
                <w:sz w:val="24"/>
                <w:szCs w:val="20"/>
                <w:lang w:val="fr-FR"/>
              </w:rPr>
              <w:t xml:space="preserve"> repris en rubrique 66</w:t>
            </w:r>
          </w:p>
          <w:p w:rsidR="005C293A" w:rsidRPr="00CB239E" w:rsidRDefault="00C71B43" w:rsidP="00D4491B">
            <w:pPr>
              <w:tabs>
                <w:tab w:val="left" w:pos="-720"/>
              </w:tabs>
              <w:suppressAutoHyphens/>
              <w:spacing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 w:rsidRPr="00C71B43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 xml:space="preserve">(rubrique 106 B ou 106 </w:t>
            </w:r>
            <w:r w:rsidR="00D4491B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>D</w:t>
            </w:r>
            <w:r w:rsidRPr="00C71B43">
              <w:rPr>
                <w:rFonts w:ascii="Arial" w:hAnsi="Arial" w:cs="Arial"/>
                <w:b/>
                <w:bCs/>
                <w:sz w:val="24"/>
                <w:szCs w:val="20"/>
                <w:lang w:val="fr-FR"/>
              </w:rPr>
              <w:t>)</w:t>
            </w:r>
          </w:p>
        </w:tc>
      </w:tr>
      <w:tr w:rsidR="005C293A" w:rsidRPr="003540C1" w:rsidTr="005C293A">
        <w:trPr>
          <w:cantSplit/>
          <w:trHeight w:val="36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3A" w:rsidRPr="003540C1" w:rsidRDefault="005C293A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Description du déchet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3A" w:rsidRPr="007B66AE" w:rsidRDefault="005C293A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3A" w:rsidRPr="003540C1" w:rsidRDefault="005C293A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Quantité maximale </w:t>
            </w:r>
          </w:p>
        </w:tc>
      </w:tr>
      <w:tr w:rsidR="00D4491B" w:rsidRPr="003540C1" w:rsidTr="00E949DB">
        <w:trPr>
          <w:cantSplit/>
          <w:trHeight w:val="2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B" w:rsidRPr="003540C1" w:rsidRDefault="00D4491B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Déchets animaux contenant des résidus de substances autorisées ou de contaminants dépassant les niveaux autorisés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B" w:rsidRDefault="00D4491B" w:rsidP="002B2A23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Pr="007B66AE">
              <w:rPr>
                <w:rFonts w:ascii="Arial" w:hAnsi="Arial" w:cs="Arial"/>
                <w:sz w:val="20"/>
                <w:szCs w:val="20"/>
              </w:rPr>
              <w:t>article 15, paragra</w:t>
            </w:r>
            <w:r>
              <w:rPr>
                <w:rFonts w:ascii="Arial" w:hAnsi="Arial" w:cs="Arial"/>
                <w:sz w:val="20"/>
                <w:szCs w:val="20"/>
              </w:rPr>
              <w:t xml:space="preserve">phe 3, de la </w:t>
            </w:r>
            <w:hyperlink r:id="rId10" w:history="1">
              <w:r w:rsidRPr="00291717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directive 96/23/CE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B" w:rsidRPr="003540C1" w:rsidRDefault="00D4491B" w:rsidP="00E949D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33" w:rsidRPr="003540C1" w:rsidTr="00E949DB">
        <w:trPr>
          <w:cantSplit/>
          <w:trHeight w:val="2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3" w:rsidRPr="003540C1" w:rsidRDefault="00084A33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40C1">
              <w:rPr>
                <w:rFonts w:ascii="Arial" w:hAnsi="Arial" w:cs="Arial"/>
                <w:sz w:val="20"/>
                <w:szCs w:val="20"/>
              </w:rPr>
              <w:t xml:space="preserve">Déchets animaux déclarés impropres à la consommation humaine </w:t>
            </w:r>
            <w:r>
              <w:rPr>
                <w:rFonts w:ascii="Arial" w:hAnsi="Arial" w:cs="Arial"/>
                <w:sz w:val="20"/>
                <w:szCs w:val="20"/>
              </w:rPr>
              <w:t>car présence de corps étrangers.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3" w:rsidRPr="007B66AE" w:rsidRDefault="00084A33" w:rsidP="002B2A23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 : produits alimentaires avariés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3" w:rsidRPr="003540C1" w:rsidRDefault="00084A33" w:rsidP="00E949D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1B" w:rsidRPr="003540C1" w:rsidTr="0012569C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B" w:rsidRPr="003540C1" w:rsidRDefault="00D4491B" w:rsidP="0012569C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40C1">
              <w:rPr>
                <w:rFonts w:ascii="Arial" w:hAnsi="Arial" w:cs="Arial"/>
                <w:sz w:val="20"/>
                <w:szCs w:val="20"/>
              </w:rPr>
              <w:t xml:space="preserve">Déchets animaux collectés lors du traitement des eaux résiduaires auprès des établissements </w:t>
            </w:r>
            <w:r>
              <w:rPr>
                <w:rFonts w:ascii="Arial" w:hAnsi="Arial" w:cs="Arial"/>
                <w:sz w:val="20"/>
                <w:szCs w:val="20"/>
              </w:rPr>
              <w:t xml:space="preserve">qui transforment des matières de catégorie 2 et </w:t>
            </w:r>
            <w:r w:rsidRPr="003540C1">
              <w:rPr>
                <w:rFonts w:ascii="Arial" w:hAnsi="Arial" w:cs="Arial"/>
                <w:sz w:val="20"/>
                <w:szCs w:val="20"/>
              </w:rPr>
              <w:t>autres que ceux visés par la catégorie 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B" w:rsidRDefault="00D4491B" w:rsidP="0012569C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B66AE">
              <w:rPr>
                <w:rFonts w:ascii="Arial" w:hAnsi="Arial" w:cs="Arial"/>
                <w:sz w:val="20"/>
                <w:szCs w:val="20"/>
              </w:rPr>
              <w:t xml:space="preserve">Résidus de grille provenant des eaux usées filtrées par une grille dont les mailles font maximum 6 </w:t>
            </w:r>
            <w:proofErr w:type="spellStart"/>
            <w:r w:rsidRPr="007B66AE">
              <w:rPr>
                <w:rFonts w:ascii="Arial" w:hAnsi="Arial" w:cs="Arial"/>
                <w:sz w:val="20"/>
                <w:szCs w:val="20"/>
              </w:rPr>
              <w:t>mm.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491B" w:rsidRPr="007B66AE" w:rsidRDefault="00D4491B" w:rsidP="001256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présence d’une telle grille, les graisses de dégraisseur ne sont pas incluses.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B" w:rsidRPr="003540C1" w:rsidRDefault="00D4491B" w:rsidP="0012569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33" w:rsidRPr="003540C1" w:rsidTr="00C43B21">
        <w:trPr>
          <w:cantSplit/>
          <w:trHeight w:val="2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A33" w:rsidRDefault="00084A33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Animaux et parties d’animaux qui ne sont pas de catégorie 1 ou 3:</w:t>
            </w:r>
          </w:p>
          <w:p w:rsidR="00084A33" w:rsidRDefault="00084A33" w:rsidP="00C43B21">
            <w:pPr>
              <w:pStyle w:val="Paragraphedeliste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Fœtus ;</w:t>
            </w:r>
          </w:p>
          <w:p w:rsidR="00084A33" w:rsidRDefault="00084A33" w:rsidP="00C43B21">
            <w:pPr>
              <w:pStyle w:val="Paragraphedeliste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Ovocytes, embryons et sperme non destinés à la reproduction ;</w:t>
            </w:r>
          </w:p>
          <w:p w:rsidR="00084A33" w:rsidRPr="00935189" w:rsidRDefault="00084A33" w:rsidP="00C43B21">
            <w:pPr>
              <w:pStyle w:val="Paragraphedeliste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Poussins morts dans l’œuf.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A33" w:rsidRPr="007B66AE" w:rsidRDefault="00084A33" w:rsidP="00C43B2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3" w:rsidRPr="003540C1" w:rsidRDefault="00084A33" w:rsidP="00C43B2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3A" w:rsidRPr="003540C1" w:rsidTr="00084F57">
        <w:trPr>
          <w:cantSplit/>
          <w:trHeight w:val="2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3A" w:rsidRPr="003540C1" w:rsidRDefault="005C293A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40C1">
              <w:rPr>
                <w:rFonts w:ascii="Arial" w:hAnsi="Arial" w:cs="Arial"/>
                <w:sz w:val="20"/>
                <w:szCs w:val="20"/>
              </w:rPr>
              <w:t>Les mélanges de matières de catégorie 2 avec des matières de catégorie 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93A" w:rsidRPr="007B66AE" w:rsidRDefault="005C293A" w:rsidP="0064534C">
            <w:pPr>
              <w:pStyle w:val="Paragraphedeliste"/>
              <w:spacing w:before="240"/>
              <w:ind w:lef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6A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A" w:rsidRPr="003540C1" w:rsidRDefault="005C293A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B43" w:rsidRPr="003540C1" w:rsidTr="005C621D">
        <w:trPr>
          <w:cantSplit/>
          <w:trHeight w:val="2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B43" w:rsidRPr="003540C1" w:rsidRDefault="00C71B43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40C1">
              <w:rPr>
                <w:rFonts w:ascii="Arial" w:hAnsi="Arial" w:cs="Arial"/>
                <w:sz w:val="20"/>
                <w:szCs w:val="20"/>
              </w:rPr>
              <w:t xml:space="preserve">Les </w:t>
            </w:r>
            <w:r>
              <w:rPr>
                <w:rFonts w:ascii="Arial" w:hAnsi="Arial" w:cs="Arial"/>
                <w:sz w:val="20"/>
                <w:szCs w:val="20"/>
              </w:rPr>
              <w:t>sous-produits animaux autres que les matières de catégorie 1 ou 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B43" w:rsidRPr="007B66AE" w:rsidRDefault="0055373F" w:rsidP="002B2A23">
            <w:pPr>
              <w:pStyle w:val="Paragraphedeliste"/>
              <w:spacing w:before="120"/>
              <w:ind w:left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tous les déchets animaux qui n’entrent dans aucune autre catégorie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3" w:rsidRPr="003540C1" w:rsidRDefault="00C71B43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B43" w:rsidRPr="00C71B43" w:rsidTr="005C621D">
        <w:trPr>
          <w:cantSplit/>
          <w:trHeight w:val="53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A33" w:rsidRPr="00DC5B4A" w:rsidRDefault="00C71B43" w:rsidP="00C71B43">
            <w:pPr>
              <w:suppressAutoHyphens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C71B43">
              <w:rPr>
                <w:rFonts w:ascii="Arial" w:hAnsi="Arial" w:cs="Arial"/>
                <w:b/>
                <w:sz w:val="20"/>
                <w:szCs w:val="20"/>
              </w:rPr>
              <w:t>CAT 2</w:t>
            </w:r>
            <w:r w:rsidR="00691CF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C71B43">
              <w:rPr>
                <w:rFonts w:ascii="Arial" w:hAnsi="Arial" w:cs="Arial"/>
                <w:b/>
                <w:sz w:val="20"/>
                <w:szCs w:val="20"/>
              </w:rPr>
              <w:t xml:space="preserve">à l’exclusion du </w:t>
            </w:r>
            <w:hyperlink w:anchor="Lisier" w:history="1">
              <w:r w:rsidRPr="005056DB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fumier/lisier</w:t>
              </w:r>
            </w:hyperlink>
            <w:r w:rsidR="00691CF3">
              <w:rPr>
                <w:rStyle w:val="Lienhypertexte"/>
                <w:rFonts w:ascii="Arial" w:hAnsi="Arial" w:cs="Arial"/>
                <w:b/>
                <w:sz w:val="20"/>
                <w:szCs w:val="20"/>
              </w:rPr>
              <w:t>, visé par la rubrique 66)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3" w:rsidRPr="00C71B43" w:rsidRDefault="00C71B43" w:rsidP="00C71B43">
            <w:pPr>
              <w:suppressAutoHyphens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0BD9" w:rsidRDefault="005F0BD9"/>
    <w:p w:rsidR="002B2A23" w:rsidRDefault="002B2A23"/>
    <w:tbl>
      <w:tblPr>
        <w:tblW w:w="92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4257"/>
        <w:gridCol w:w="1151"/>
      </w:tblGrid>
      <w:tr w:rsidR="005C293A" w:rsidRPr="003540C1" w:rsidTr="00084F57">
        <w:trPr>
          <w:cantSplit/>
          <w:trHeight w:val="362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954B0" w:rsidRDefault="005C293A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</w:pPr>
            <w:bookmarkStart w:id="5" w:name="Cat_3"/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>Catégorie 3</w:t>
            </w:r>
            <w:bookmarkEnd w:id="5"/>
            <w:r w:rsidR="00C71B43"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 xml:space="preserve"> </w:t>
            </w:r>
            <w:r w:rsidR="000954B0">
              <w:rPr>
                <w:rFonts w:ascii="Arial" w:hAnsi="Arial" w:cs="Arial"/>
                <w:bCs/>
                <w:sz w:val="24"/>
                <w:szCs w:val="20"/>
                <w:lang w:val="fr-FR"/>
              </w:rPr>
              <w:t>à l</w:t>
            </w:r>
            <w:r w:rsidR="000954B0" w:rsidRPr="000954B0">
              <w:rPr>
                <w:rFonts w:ascii="Arial" w:hAnsi="Arial" w:cs="Arial"/>
                <w:bCs/>
                <w:sz w:val="24"/>
                <w:szCs w:val="20"/>
                <w:lang w:val="fr-FR"/>
              </w:rPr>
              <w:t>’exclusion des déchets de cuisine et de table</w:t>
            </w:r>
          </w:p>
          <w:p w:rsidR="005C293A" w:rsidRPr="00CB239E" w:rsidRDefault="00C71B43" w:rsidP="00D4491B">
            <w:pPr>
              <w:tabs>
                <w:tab w:val="left" w:pos="-720"/>
              </w:tabs>
              <w:suppressAutoHyphens/>
              <w:spacing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 xml:space="preserve">(rubrique 106 A ou 106 </w:t>
            </w:r>
            <w:r w:rsidR="00D4491B"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>D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>)</w:t>
            </w:r>
          </w:p>
        </w:tc>
      </w:tr>
      <w:tr w:rsidR="000F50DF" w:rsidRPr="003540C1" w:rsidTr="00084F57">
        <w:trPr>
          <w:cantSplit/>
          <w:trHeight w:val="36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DF" w:rsidRPr="003540C1" w:rsidRDefault="000F50DF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Description du déchet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DF" w:rsidRPr="007B66AE" w:rsidRDefault="000F50DF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DF" w:rsidRPr="003540C1" w:rsidRDefault="000F50DF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Quantité maximale </w:t>
            </w:r>
          </w:p>
        </w:tc>
      </w:tr>
      <w:tr w:rsidR="005C293A" w:rsidRPr="000F50DF" w:rsidTr="00084F57">
        <w:trPr>
          <w:cantSplit/>
          <w:trHeight w:val="36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3A" w:rsidRPr="000F50DF" w:rsidRDefault="00EC63EB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w:anchor="Carcasse" w:history="1">
              <w:r w:rsidR="000F50DF" w:rsidRPr="00F9046B">
                <w:rPr>
                  <w:rStyle w:val="Lienhypertexte"/>
                  <w:rFonts w:ascii="Arial" w:hAnsi="Arial" w:cs="Arial"/>
                  <w:sz w:val="20"/>
                  <w:szCs w:val="20"/>
                </w:rPr>
                <w:t>Carcasses</w:t>
              </w:r>
            </w:hyperlink>
            <w:r w:rsidR="000F50DF">
              <w:rPr>
                <w:rFonts w:ascii="Arial" w:hAnsi="Arial" w:cs="Arial"/>
                <w:sz w:val="20"/>
                <w:szCs w:val="20"/>
              </w:rPr>
              <w:t xml:space="preserve"> et parties d’animaux abattus ou mis à mort</w:t>
            </w:r>
            <w:r w:rsidR="00B36DC8">
              <w:rPr>
                <w:rFonts w:ascii="Arial" w:hAnsi="Arial" w:cs="Arial"/>
                <w:sz w:val="20"/>
                <w:szCs w:val="20"/>
              </w:rPr>
              <w:t xml:space="preserve"> qui ne sont plus destinés à la consommation humaine pour des raisons commerciales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3A" w:rsidRPr="000F50DF" w:rsidRDefault="005C293A" w:rsidP="00DC5B4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3A" w:rsidRPr="000F50DF" w:rsidRDefault="005C293A" w:rsidP="000F50D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73F" w:rsidRPr="003540C1" w:rsidTr="00084F57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F" w:rsidRPr="003540C1" w:rsidRDefault="00DE7E56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w:anchor="Carcasse" w:history="1">
              <w:r w:rsidR="0055373F" w:rsidRPr="00F9046B">
                <w:rPr>
                  <w:rStyle w:val="Lienhypertexte"/>
                  <w:rFonts w:ascii="Arial" w:hAnsi="Arial" w:cs="Arial"/>
                  <w:sz w:val="20"/>
                  <w:szCs w:val="20"/>
                </w:rPr>
                <w:t>Carcasses</w:t>
              </w:r>
            </w:hyperlink>
            <w:r w:rsidR="0055373F" w:rsidRPr="003540C1">
              <w:rPr>
                <w:rFonts w:ascii="Arial" w:hAnsi="Arial" w:cs="Arial"/>
                <w:sz w:val="20"/>
                <w:szCs w:val="20"/>
              </w:rPr>
              <w:t xml:space="preserve"> et parties d’animaux</w:t>
            </w:r>
            <w:r w:rsidR="004B04DF">
              <w:rPr>
                <w:rFonts w:ascii="Arial" w:hAnsi="Arial" w:cs="Arial"/>
                <w:sz w:val="20"/>
                <w:szCs w:val="20"/>
              </w:rPr>
              <w:t xml:space="preserve"> issues d’un abattoir,</w:t>
            </w:r>
            <w:r w:rsidR="0055373F" w:rsidRPr="003540C1">
              <w:rPr>
                <w:rFonts w:ascii="Arial" w:hAnsi="Arial" w:cs="Arial"/>
                <w:sz w:val="20"/>
                <w:szCs w:val="20"/>
              </w:rPr>
              <w:t xml:space="preserve"> qui </w:t>
            </w:r>
            <w:r w:rsidR="00B36DC8">
              <w:rPr>
                <w:rFonts w:ascii="Arial" w:hAnsi="Arial" w:cs="Arial"/>
                <w:sz w:val="20"/>
                <w:szCs w:val="20"/>
              </w:rPr>
              <w:t>ont été considéré</w:t>
            </w:r>
            <w:r w:rsidR="004B04DF">
              <w:rPr>
                <w:rFonts w:ascii="Arial" w:hAnsi="Arial" w:cs="Arial"/>
                <w:sz w:val="20"/>
                <w:szCs w:val="20"/>
              </w:rPr>
              <w:t>e</w:t>
            </w:r>
            <w:r w:rsidR="00B36DC8">
              <w:rPr>
                <w:rFonts w:ascii="Arial" w:hAnsi="Arial" w:cs="Arial"/>
                <w:sz w:val="20"/>
                <w:szCs w:val="20"/>
              </w:rPr>
              <w:t>s comme propres à</w:t>
            </w:r>
            <w:r w:rsidR="000F50DF">
              <w:rPr>
                <w:rFonts w:ascii="Arial" w:hAnsi="Arial" w:cs="Arial"/>
                <w:sz w:val="20"/>
                <w:szCs w:val="20"/>
              </w:rPr>
              <w:t xml:space="preserve"> la consommation humaine</w:t>
            </w:r>
            <w:r w:rsidR="0055373F" w:rsidRPr="003540C1">
              <w:rPr>
                <w:rFonts w:ascii="Arial" w:hAnsi="Arial" w:cs="Arial"/>
                <w:sz w:val="20"/>
                <w:szCs w:val="20"/>
              </w:rPr>
              <w:t>, telles que :</w:t>
            </w:r>
          </w:p>
          <w:p w:rsidR="0055373F" w:rsidRPr="000954B0" w:rsidRDefault="0055373F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déchets de découpe de viande</w:t>
            </w:r>
          </w:p>
          <w:p w:rsidR="0055373F" w:rsidRPr="000954B0" w:rsidRDefault="0055373F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têtes de volailles</w:t>
            </w:r>
          </w:p>
          <w:p w:rsidR="0055373F" w:rsidRPr="000954B0" w:rsidRDefault="0055373F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cuirs et les peaux</w:t>
            </w:r>
          </w:p>
          <w:p w:rsidR="0055373F" w:rsidRPr="000954B0" w:rsidRDefault="0055373F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soies de porcs</w:t>
            </w:r>
          </w:p>
          <w:p w:rsidR="0055373F" w:rsidRPr="000954B0" w:rsidRDefault="0055373F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plumes</w:t>
            </w:r>
            <w:r w:rsidR="0064534C" w:rsidRPr="000954B0">
              <w:rPr>
                <w:rFonts w:ascii="Arial" w:hAnsi="Arial" w:cs="Arial"/>
                <w:sz w:val="20"/>
                <w:szCs w:val="20"/>
              </w:rPr>
              <w:t>, la laine et les poils</w:t>
            </w:r>
          </w:p>
          <w:p w:rsidR="0055373F" w:rsidRPr="000954B0" w:rsidRDefault="0055373F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 sang</w:t>
            </w:r>
          </w:p>
          <w:p w:rsidR="0064534C" w:rsidRPr="000954B0" w:rsidRDefault="0064534C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 placenta</w:t>
            </w:r>
            <w:r w:rsidRPr="00F9046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64534C" w:rsidRPr="000954B0" w:rsidRDefault="0064534C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cornes et sabots</w:t>
            </w:r>
          </w:p>
          <w:p w:rsidR="0064534C" w:rsidRPr="000954B0" w:rsidRDefault="0064534C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 lait cru</w:t>
            </w:r>
            <w:r w:rsidRPr="00F9046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55373F" w:rsidRPr="000954B0" w:rsidRDefault="0055373F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 xml:space="preserve">les </w:t>
            </w:r>
            <w:hyperlink w:anchor="animal_aquatique" w:history="1">
              <w:r w:rsidRPr="008577DE">
                <w:rPr>
                  <w:rStyle w:val="Lienhypertexte"/>
                  <w:rFonts w:ascii="Arial" w:hAnsi="Arial" w:cs="Arial"/>
                  <w:sz w:val="20"/>
                  <w:szCs w:val="20"/>
                </w:rPr>
                <w:t>animaux aquatiques</w:t>
              </w:r>
            </w:hyperlink>
          </w:p>
          <w:p w:rsidR="0064534C" w:rsidRPr="000954B0" w:rsidRDefault="0064534C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carapaces de crustacés ou coquilles de mollusques avec de la chair ou des corps mous</w:t>
            </w:r>
          </w:p>
          <w:p w:rsidR="0055373F" w:rsidRPr="000954B0" w:rsidRDefault="0055373F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œufs et leurs sous-produits</w:t>
            </w:r>
            <w:r w:rsidR="0064534C" w:rsidRPr="000954B0">
              <w:rPr>
                <w:rFonts w:ascii="Arial" w:hAnsi="Arial" w:cs="Arial"/>
                <w:sz w:val="20"/>
                <w:szCs w:val="20"/>
              </w:rPr>
              <w:t>, y compris les coquilles</w:t>
            </w:r>
          </w:p>
          <w:p w:rsidR="0064534C" w:rsidRPr="000954B0" w:rsidRDefault="0064534C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poussins d’un jour abattus pour raisons commerciales</w:t>
            </w:r>
          </w:p>
          <w:p w:rsidR="0064534C" w:rsidRDefault="0064534C" w:rsidP="00084F5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sz w:val="20"/>
                <w:szCs w:val="20"/>
              </w:rPr>
              <w:t>les invertébrés aquatiques et terrestres non pathogènes pour l’être humain ou animal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534C" w:rsidRDefault="0064534C" w:rsidP="0064534C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34C" w:rsidRPr="0064534C" w:rsidRDefault="0064534C" w:rsidP="0064534C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34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B4A">
              <w:rPr>
                <w:rFonts w:ascii="Arial" w:hAnsi="Arial" w:cs="Arial"/>
                <w:sz w:val="18"/>
                <w:szCs w:val="20"/>
              </w:rPr>
              <w:t>issu d’animaux vivants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F" w:rsidRPr="007B66AE" w:rsidRDefault="000F50DF" w:rsidP="002B2A23">
            <w:pPr>
              <w:widowControl w:val="0"/>
              <w:suppressAutoHyphens/>
              <w:spacing w:before="120"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Ces déchets doivent provenir d’animaux exempts de tout signe de maladie transmissible aux êtres humains ou animaux</w:t>
            </w:r>
            <w:r w:rsidR="0064534C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3F" w:rsidRPr="003540C1" w:rsidRDefault="0055373F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DC8" w:rsidRPr="003540C1" w:rsidTr="00084F57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C8" w:rsidRPr="003540C1" w:rsidRDefault="00B36DC8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déchets animaux provenant de volaille et de lagomorphes abattus dans l’exploitation et exempts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tout signe de maladie transmissible aux êtres humains ou animaux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C8" w:rsidRPr="007B66AE" w:rsidRDefault="00FC4B5B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s’agit de déchets visés par le</w:t>
            </w:r>
            <w:r w:rsidR="00B36DC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B36DC8" w:rsidRPr="00B36DC8">
                <w:rPr>
                  <w:rStyle w:val="Lienhypertexte"/>
                  <w:rFonts w:ascii="Arial" w:hAnsi="Arial" w:cs="Arial"/>
                  <w:sz w:val="20"/>
                  <w:szCs w:val="20"/>
                </w:rPr>
                <w:t>règlement 853/2004/CE</w:t>
              </w:r>
            </w:hyperlink>
            <w:r w:rsidR="00B36DC8">
              <w:rPr>
                <w:rFonts w:ascii="Arial" w:hAnsi="Arial" w:cs="Arial"/>
                <w:sz w:val="20"/>
                <w:szCs w:val="20"/>
              </w:rPr>
              <w:t>, art. 1</w:t>
            </w:r>
            <w:r w:rsidR="00B36DC8" w:rsidRPr="00B36DC8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="00B36DC8">
              <w:rPr>
                <w:rFonts w:ascii="Arial" w:hAnsi="Arial" w:cs="Arial"/>
                <w:sz w:val="20"/>
                <w:szCs w:val="20"/>
              </w:rPr>
              <w:t>, point 3, d).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C8" w:rsidRPr="003540C1" w:rsidRDefault="00B36DC8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DC8" w:rsidRPr="003540C1" w:rsidTr="00084F57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C8" w:rsidRPr="003540C1" w:rsidRDefault="00B36DC8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Déchets animaux issus de la fabrication de produits destinés à la consommation humaine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C8" w:rsidRPr="007B66AE" w:rsidRDefault="004B04DF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Sont visés : o</w:t>
            </w:r>
            <w:r w:rsidR="00B36DC8">
              <w:rPr>
                <w:rFonts w:ascii="Arial" w:hAnsi="Arial" w:cs="Arial"/>
                <w:sz w:val="20"/>
                <w:szCs w:val="20"/>
              </w:rPr>
              <w:t>s dégraissés, crêtons, boues de centrifugeuses ou de séparateurs issues de la transformation du lait.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C8" w:rsidRPr="003540C1" w:rsidRDefault="00B36DC8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91B" w:rsidRPr="003540C1" w:rsidTr="00A64B61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B" w:rsidRPr="003540C1" w:rsidRDefault="00D4491B" w:rsidP="00A64B61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B66AE">
              <w:rPr>
                <w:rFonts w:ascii="Arial" w:hAnsi="Arial" w:cs="Arial"/>
                <w:sz w:val="20"/>
                <w:szCs w:val="20"/>
              </w:rPr>
              <w:t>roduits d’origine animale ou les aliments contenant de tels produits, qui ne sont plus destinés à la consommation humaine</w:t>
            </w:r>
            <w:r>
              <w:rPr>
                <w:rFonts w:ascii="Arial" w:hAnsi="Arial" w:cs="Arial"/>
                <w:sz w:val="20"/>
                <w:szCs w:val="20"/>
              </w:rPr>
              <w:t>/animale</w:t>
            </w:r>
            <w:r w:rsidRPr="007B66AE">
              <w:rPr>
                <w:rFonts w:ascii="Arial" w:hAnsi="Arial" w:cs="Arial"/>
                <w:sz w:val="20"/>
                <w:szCs w:val="20"/>
              </w:rPr>
              <w:t xml:space="preserve"> pour des raisons commerciales ou en raison de défauts de fabrication ou d’emballage ou d’autres défauts n’entraînant aucun risque pour la santé humaine ou animale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B" w:rsidRDefault="00D4491B" w:rsidP="00A64B61">
            <w:pPr>
              <w:pStyle w:val="Default"/>
              <w:spacing w:before="120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s’agit d’</w:t>
            </w:r>
            <w:hyperlink w:anchor="ADA" w:history="1">
              <w:r w:rsidRPr="00FC4B5B">
                <w:rPr>
                  <w:rStyle w:val="Lienhypertexte"/>
                  <w:rFonts w:ascii="Arial" w:hAnsi="Arial" w:cs="Arial"/>
                  <w:sz w:val="20"/>
                  <w:szCs w:val="20"/>
                </w:rPr>
                <w:t>anciennes denrées alimentaires</w:t>
              </w:r>
            </w:hyperlink>
          </w:p>
          <w:p w:rsidR="00D4491B" w:rsidRDefault="00D4491B" w:rsidP="00A64B61">
            <w:pPr>
              <w:pStyle w:val="Default"/>
              <w:spacing w:before="120"/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:rsidR="00D4491B" w:rsidRPr="007E3E32" w:rsidRDefault="00D4491B" w:rsidP="00A64B61">
            <w:pPr>
              <w:pStyle w:val="Default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E3E32">
              <w:rPr>
                <w:rFonts w:ascii="Arial" w:hAnsi="Arial" w:cs="Arial"/>
                <w:b/>
                <w:sz w:val="20"/>
                <w:szCs w:val="20"/>
              </w:rPr>
              <w:t>Evacuation par collecteur enregistré pas obligatoire si &lt; 20 kg/semaine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1B" w:rsidRPr="003540C1" w:rsidRDefault="00D4491B" w:rsidP="00A64B6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34C" w:rsidRPr="003540C1" w:rsidTr="005C621D">
        <w:trPr>
          <w:cantSplit/>
          <w:trHeight w:val="2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4C" w:rsidRPr="003540C1" w:rsidRDefault="0064534C" w:rsidP="002B2A23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Tissus adipeux d’animaux n’ayant présentés aucun signe de maladie transmissible aux êtres humains ou aux animaux, abattus dans un abattoir et considérés propres à l’abattage pour la consommation humaine.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4C" w:rsidRPr="007B66AE" w:rsidRDefault="0064534C" w:rsidP="0064534C">
            <w:pPr>
              <w:suppressAutoHyphens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4C" w:rsidRPr="003540C1" w:rsidRDefault="0064534C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73F" w:rsidRPr="003540C1" w:rsidTr="005C621D">
        <w:trPr>
          <w:cantSplit/>
          <w:trHeight w:val="57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B5B" w:rsidRPr="00DC5B4A" w:rsidRDefault="0055373F" w:rsidP="000954B0">
            <w:pPr>
              <w:suppressAutoHyphens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CAT </w:t>
            </w:r>
            <w:r w:rsidR="000954B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 à l’exclusion des</w:t>
            </w:r>
            <w:r w:rsidR="000954B0">
              <w:rPr>
                <w:rFonts w:ascii="Arial" w:hAnsi="Arial" w:cs="Arial"/>
                <w:b/>
                <w:sz w:val="20"/>
                <w:szCs w:val="20"/>
              </w:rPr>
              <w:t xml:space="preserve"> déchets de cuisine et de table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73F" w:rsidRPr="003540C1" w:rsidRDefault="0055373F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93A" w:rsidRDefault="005C293A"/>
    <w:tbl>
      <w:tblPr>
        <w:tblW w:w="92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4257"/>
        <w:gridCol w:w="1151"/>
      </w:tblGrid>
      <w:tr w:rsidR="00C71B43" w:rsidRPr="003540C1" w:rsidTr="00084F57">
        <w:trPr>
          <w:cantSplit/>
          <w:trHeight w:val="362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1B43" w:rsidRDefault="00C71B43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 xml:space="preserve">Déchets de cuisine et de table </w:t>
            </w:r>
            <w:r w:rsidR="000954B0" w:rsidRPr="000954B0">
              <w:rPr>
                <w:rFonts w:ascii="Arial" w:hAnsi="Arial" w:cs="Arial"/>
                <w:bCs/>
                <w:sz w:val="24"/>
                <w:szCs w:val="20"/>
                <w:lang w:val="fr-FR"/>
              </w:rPr>
              <w:t>(</w:t>
            </w:r>
            <w:r w:rsidRPr="000954B0">
              <w:rPr>
                <w:rFonts w:ascii="Arial" w:hAnsi="Arial" w:cs="Arial"/>
                <w:bCs/>
                <w:sz w:val="24"/>
                <w:szCs w:val="20"/>
                <w:lang w:val="fr-FR"/>
              </w:rPr>
              <w:t>y compris les huiles de cuisson usagées</w:t>
            </w:r>
            <w:r w:rsidR="000954B0" w:rsidRPr="000954B0">
              <w:rPr>
                <w:rFonts w:ascii="Arial" w:hAnsi="Arial" w:cs="Arial"/>
                <w:bCs/>
                <w:sz w:val="24"/>
                <w:szCs w:val="20"/>
                <w:lang w:val="fr-FR"/>
              </w:rPr>
              <w:t>)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 xml:space="preserve"> </w:t>
            </w:r>
          </w:p>
          <w:p w:rsidR="00C71B43" w:rsidRPr="00CB239E" w:rsidRDefault="00C71B43" w:rsidP="00EC63EB">
            <w:pPr>
              <w:tabs>
                <w:tab w:val="left" w:pos="-720"/>
              </w:tabs>
              <w:suppressAutoHyphens/>
              <w:spacing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 xml:space="preserve">(rubrique 106 </w:t>
            </w:r>
            <w:r w:rsidR="00EC63EB"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>D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0"/>
                <w:lang w:val="fr-FR"/>
              </w:rPr>
              <w:t>)</w:t>
            </w:r>
          </w:p>
        </w:tc>
      </w:tr>
      <w:tr w:rsidR="00C71B43" w:rsidRPr="003540C1" w:rsidTr="00084F57">
        <w:trPr>
          <w:cantSplit/>
          <w:trHeight w:val="36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3" w:rsidRPr="003540C1" w:rsidRDefault="00C71B43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Description du déchet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3" w:rsidRPr="007B66AE" w:rsidRDefault="00C71B43" w:rsidP="00084F57">
            <w:pPr>
              <w:tabs>
                <w:tab w:val="left" w:pos="-720"/>
              </w:tabs>
              <w:suppressAutoHyphens/>
              <w:spacing w:after="120" w:line="240" w:lineRule="auto"/>
              <w:ind w:left="-45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Remarque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43" w:rsidRPr="003540C1" w:rsidRDefault="00C71B43" w:rsidP="002B2A23">
            <w:pPr>
              <w:tabs>
                <w:tab w:val="left" w:pos="-720"/>
              </w:tabs>
              <w:suppressAutoHyphens/>
              <w:spacing w:before="120" w:after="120" w:line="240" w:lineRule="auto"/>
              <w:ind w:left="-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Quantité maximale </w:t>
            </w:r>
          </w:p>
        </w:tc>
      </w:tr>
      <w:tr w:rsidR="00C71B43" w:rsidRPr="003540C1" w:rsidTr="00084F57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3" w:rsidRPr="003540C1" w:rsidRDefault="00C71B43" w:rsidP="002B2A23">
            <w:pPr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Déchets de cuisine et de table (en dehors des huiles de cuisson usagées)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C8" w:rsidRPr="007B66AE" w:rsidRDefault="00B36DC8" w:rsidP="002B2A23">
            <w:pPr>
              <w:pStyle w:val="Default"/>
              <w:spacing w:before="120" w:after="172"/>
              <w:rPr>
                <w:rFonts w:ascii="Arial" w:hAnsi="Arial" w:cs="Arial"/>
                <w:sz w:val="20"/>
                <w:szCs w:val="20"/>
              </w:rPr>
            </w:pPr>
            <w:r w:rsidRPr="007B66AE">
              <w:rPr>
                <w:rFonts w:ascii="Arial" w:hAnsi="Arial" w:cs="Arial"/>
                <w:sz w:val="20"/>
                <w:szCs w:val="20"/>
              </w:rPr>
              <w:t>SAUF</w:t>
            </w:r>
          </w:p>
          <w:p w:rsidR="00B36DC8" w:rsidRPr="007B66AE" w:rsidRDefault="00B36DC8" w:rsidP="00B36DC8">
            <w:pPr>
              <w:pStyle w:val="Default"/>
              <w:numPr>
                <w:ilvl w:val="0"/>
                <w:numId w:val="1"/>
              </w:num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7B66AE">
              <w:rPr>
                <w:rFonts w:ascii="Arial" w:hAnsi="Arial" w:cs="Arial"/>
                <w:sz w:val="20"/>
                <w:szCs w:val="20"/>
              </w:rPr>
              <w:t>s’ils sont destinés à l’alimentation animale;</w:t>
            </w:r>
          </w:p>
          <w:p w:rsidR="00C71B43" w:rsidRPr="007B66AE" w:rsidRDefault="00B36DC8" w:rsidP="002B2A23">
            <w:pPr>
              <w:pStyle w:val="Default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1C3EEF">
              <w:rPr>
                <w:rFonts w:ascii="Arial" w:hAnsi="Arial" w:cs="Arial"/>
                <w:sz w:val="20"/>
                <w:szCs w:val="20"/>
              </w:rPr>
              <w:t>s’ils sont destinés à être transformés par une stérilisation sous pression ou par les méthodes visées à l’article 15, paragraphe 1, premier alinéa, point b), ou à être transformés en biogaz ou à être compostés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43" w:rsidRPr="003540C1" w:rsidRDefault="00C71B43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4B0" w:rsidRPr="003540C1" w:rsidTr="00BF5228">
        <w:trPr>
          <w:cantSplit/>
          <w:trHeight w:val="3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0" w:rsidRPr="003540C1" w:rsidRDefault="000954B0" w:rsidP="002B2A2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0C1">
              <w:rPr>
                <w:rFonts w:ascii="Arial" w:hAnsi="Arial" w:cs="Arial"/>
                <w:sz w:val="20"/>
                <w:szCs w:val="20"/>
              </w:rPr>
              <w:t xml:space="preserve">Les huiles de cuisson usagées (ménagers, </w:t>
            </w:r>
            <w:proofErr w:type="spellStart"/>
            <w:r w:rsidRPr="003540C1">
              <w:rPr>
                <w:rFonts w:ascii="Arial" w:hAnsi="Arial" w:cs="Arial"/>
                <w:sz w:val="20"/>
                <w:szCs w:val="20"/>
              </w:rPr>
              <w:t>horeca</w:t>
            </w:r>
            <w:proofErr w:type="spellEnd"/>
            <w:r w:rsidRPr="003540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B0" w:rsidRPr="007B66AE" w:rsidRDefault="000954B0" w:rsidP="002B2A2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6AE">
              <w:rPr>
                <w:rFonts w:ascii="Arial" w:hAnsi="Arial" w:cs="Arial"/>
                <w:sz w:val="20"/>
                <w:szCs w:val="20"/>
              </w:rPr>
              <w:t>Toute huile de cuisson usagées, même si elle est d’origine végétale car elle peut avoir cuit une viande et dès lors, comporter des résidus d’origine animale</w:t>
            </w:r>
          </w:p>
          <w:p w:rsidR="000954B0" w:rsidRDefault="000954B0" w:rsidP="00D64B1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7A6">
              <w:rPr>
                <w:rFonts w:ascii="Arial" w:hAnsi="Arial" w:cs="Arial"/>
                <w:sz w:val="20"/>
                <w:szCs w:val="20"/>
              </w:rPr>
              <w:t xml:space="preserve">Ces déchets doivent </w:t>
            </w:r>
            <w:r w:rsidR="00D64B1F" w:rsidRPr="001937A6">
              <w:rPr>
                <w:rFonts w:ascii="Arial" w:hAnsi="Arial" w:cs="Arial"/>
                <w:sz w:val="20"/>
                <w:szCs w:val="20"/>
              </w:rPr>
              <w:t xml:space="preserve">obligatoirement être triés et déposés dans un centre autorisé ou </w:t>
            </w:r>
            <w:r w:rsidRPr="001937A6">
              <w:rPr>
                <w:rFonts w:ascii="Arial" w:hAnsi="Arial" w:cs="Arial"/>
                <w:sz w:val="20"/>
                <w:szCs w:val="20"/>
              </w:rPr>
              <w:t>pris en charge par une société enregistrée en Région Bruxelloise pour la gestion des déchets animaux de catégorie 3.</w:t>
            </w:r>
          </w:p>
          <w:p w:rsidR="00BD64A8" w:rsidRPr="007B66AE" w:rsidRDefault="00BD64A8" w:rsidP="00BD64A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F3A">
              <w:rPr>
                <w:rFonts w:ascii="Arial" w:hAnsi="Arial" w:cs="Arial"/>
                <w:b/>
                <w:sz w:val="20"/>
                <w:szCs w:val="20"/>
              </w:rPr>
              <w:t>Leur valorisation est obligatoire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0" w:rsidRPr="003540C1" w:rsidRDefault="000954B0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4B0" w:rsidRPr="003540C1" w:rsidTr="005C621D">
        <w:trPr>
          <w:cantSplit/>
          <w:trHeight w:val="2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0" w:rsidRPr="003540C1" w:rsidRDefault="000954B0" w:rsidP="002B2A2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0C1">
              <w:rPr>
                <w:rFonts w:ascii="Arial" w:hAnsi="Arial" w:cs="Arial"/>
                <w:sz w:val="20"/>
                <w:szCs w:val="20"/>
              </w:rPr>
              <w:t>Les huiles de cuisson usagées (industrie alimentaire)</w:t>
            </w: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0" w:rsidRPr="007B66AE" w:rsidRDefault="000954B0" w:rsidP="00084F5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0" w:rsidRPr="003540C1" w:rsidRDefault="000954B0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4B0" w:rsidRPr="003540C1" w:rsidTr="005C621D">
        <w:trPr>
          <w:cantSplit/>
          <w:trHeight w:val="53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B" w:rsidRPr="00DC5B4A" w:rsidRDefault="000954B0" w:rsidP="000954B0">
            <w:pPr>
              <w:suppressAutoHyphens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4B0">
              <w:rPr>
                <w:rFonts w:ascii="Arial" w:hAnsi="Arial" w:cs="Arial"/>
                <w:b/>
                <w:sz w:val="20"/>
                <w:szCs w:val="20"/>
              </w:rPr>
              <w:t>TOTAL déchets de cuisine et de table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0" w:rsidRPr="003540C1" w:rsidRDefault="000954B0" w:rsidP="00084F5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7A71" w:rsidRDefault="00F27A71" w:rsidP="00F27A71"/>
    <w:p w:rsidR="00F27A71" w:rsidRPr="00B845CC" w:rsidRDefault="00F27A71" w:rsidP="00F27A71">
      <w:pPr>
        <w:rPr>
          <w:rFonts w:ascii="Arial" w:hAnsi="Arial" w:cs="Arial"/>
          <w:b/>
          <w:smallCaps/>
          <w:sz w:val="20"/>
          <w:szCs w:val="20"/>
          <w:u w:val="single"/>
        </w:rPr>
      </w:pPr>
      <w:r w:rsidRPr="00B845CC">
        <w:rPr>
          <w:rFonts w:ascii="Arial" w:hAnsi="Arial" w:cs="Arial"/>
          <w:b/>
          <w:smallCaps/>
          <w:sz w:val="20"/>
          <w:szCs w:val="20"/>
          <w:u w:val="single"/>
        </w:rPr>
        <w:t>Définitions :</w:t>
      </w:r>
    </w:p>
    <w:p w:rsidR="00F27A71" w:rsidRPr="00B845CC" w:rsidRDefault="00F27A71" w:rsidP="00F27A71">
      <w:pPr>
        <w:pStyle w:val="Paragraphedeliste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b/>
          <w:sz w:val="20"/>
          <w:szCs w:val="20"/>
          <w:u w:val="single"/>
        </w:rPr>
      </w:pPr>
      <w:bookmarkStart w:id="6" w:name="MRS"/>
      <w:r w:rsidRPr="00B845CC">
        <w:rPr>
          <w:rFonts w:ascii="Arial" w:hAnsi="Arial" w:cs="Arial"/>
          <w:b/>
          <w:sz w:val="20"/>
          <w:szCs w:val="20"/>
          <w:u w:val="single"/>
        </w:rPr>
        <w:t>Matériels à risque spécifiés</w:t>
      </w:r>
      <w:r>
        <w:rPr>
          <w:rFonts w:ascii="Arial" w:hAnsi="Arial" w:cs="Arial"/>
          <w:b/>
          <w:sz w:val="20"/>
          <w:szCs w:val="20"/>
          <w:u w:val="single"/>
        </w:rPr>
        <w:t xml:space="preserve"> - MRS</w:t>
      </w:r>
      <w:r w:rsidRPr="00B845CC">
        <w:rPr>
          <w:rFonts w:ascii="Arial" w:hAnsi="Arial" w:cs="Arial"/>
          <w:b/>
          <w:sz w:val="20"/>
          <w:szCs w:val="20"/>
          <w:u w:val="single"/>
        </w:rPr>
        <w:t> :</w:t>
      </w:r>
    </w:p>
    <w:bookmarkEnd w:id="6"/>
    <w:p w:rsidR="00F27A71" w:rsidRPr="00B845CC" w:rsidRDefault="00F27A71" w:rsidP="00F27A71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0"/>
          <w:szCs w:val="20"/>
        </w:rPr>
      </w:pPr>
      <w:r w:rsidRPr="00B845CC">
        <w:rPr>
          <w:rFonts w:ascii="Arial" w:hAnsi="Arial" w:cs="Arial"/>
          <w:sz w:val="20"/>
          <w:szCs w:val="20"/>
        </w:rPr>
        <w:t>[</w:t>
      </w:r>
      <w:proofErr w:type="gramStart"/>
      <w:r w:rsidRPr="00B845CC">
        <w:rPr>
          <w:rFonts w:ascii="Arial" w:hAnsi="Arial" w:cs="Arial"/>
          <w:sz w:val="20"/>
          <w:szCs w:val="20"/>
        </w:rPr>
        <w:t>art</w:t>
      </w:r>
      <w:proofErr w:type="gramEnd"/>
      <w:r w:rsidRPr="00B845CC">
        <w:rPr>
          <w:rFonts w:ascii="Arial" w:hAnsi="Arial" w:cs="Arial"/>
          <w:sz w:val="20"/>
          <w:szCs w:val="20"/>
        </w:rPr>
        <w:t>. 3, paragraphe 1, point g), du règlement (CE) n° 999/2001]</w:t>
      </w:r>
    </w:p>
    <w:p w:rsidR="00F27A71" w:rsidRPr="007F5ABA" w:rsidRDefault="00F27A71" w:rsidP="00F27A71">
      <w:pPr>
        <w:autoSpaceDE w:val="0"/>
        <w:autoSpaceDN w:val="0"/>
        <w:adjustRightInd w:val="0"/>
        <w:ind w:left="284"/>
        <w:rPr>
          <w:rFonts w:ascii="Arial" w:hAnsi="Arial" w:cs="Arial"/>
          <w:i/>
          <w:sz w:val="20"/>
          <w:szCs w:val="20"/>
        </w:rPr>
      </w:pPr>
      <w:r w:rsidRPr="007F5ABA">
        <w:rPr>
          <w:rFonts w:ascii="Arial" w:hAnsi="Arial" w:cs="Arial"/>
          <w:i/>
          <w:sz w:val="20"/>
          <w:szCs w:val="20"/>
        </w:rPr>
        <w:t>a) le crâne, y compris la cervelle et les yeux, les amygdales et la moelle épinière des bovins de plus de douze mois,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F5ABA">
        <w:rPr>
          <w:rFonts w:ascii="Arial" w:hAnsi="Arial" w:cs="Arial"/>
          <w:i/>
          <w:sz w:val="20"/>
          <w:szCs w:val="20"/>
        </w:rPr>
        <w:t>ainsi que les intestins du duodénum jusqu'au rectum des bovins de tous âges;</w:t>
      </w:r>
    </w:p>
    <w:p w:rsidR="00F27A71" w:rsidRPr="007F5ABA" w:rsidRDefault="00F27A71" w:rsidP="00F27A71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i/>
          <w:sz w:val="20"/>
          <w:szCs w:val="20"/>
        </w:rPr>
      </w:pPr>
      <w:r w:rsidRPr="007F5ABA">
        <w:rPr>
          <w:rFonts w:ascii="Arial" w:hAnsi="Arial" w:cs="Arial"/>
          <w:i/>
          <w:sz w:val="20"/>
          <w:szCs w:val="20"/>
        </w:rPr>
        <w:lastRenderedPageBreak/>
        <w:t>b) le crâne, y compris la cervelle et les yeux, les amygdales, la moelle épinière des ovins et des caprins de plus de 12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F5ABA">
        <w:rPr>
          <w:rFonts w:ascii="Arial" w:hAnsi="Arial" w:cs="Arial"/>
          <w:i/>
          <w:sz w:val="20"/>
          <w:szCs w:val="20"/>
        </w:rPr>
        <w:t>mois ou qui présentent une incisive permanente ayant percé la gencive et la rate des ovins et des caprins de tous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F5ABA">
        <w:rPr>
          <w:rFonts w:ascii="Arial" w:hAnsi="Arial" w:cs="Arial"/>
          <w:i/>
          <w:sz w:val="20"/>
          <w:szCs w:val="20"/>
        </w:rPr>
        <w:t>âges.</w:t>
      </w:r>
    </w:p>
    <w:p w:rsidR="00F27A71" w:rsidRPr="007F5ABA" w:rsidRDefault="00F27A71" w:rsidP="00F27A71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i/>
          <w:sz w:val="20"/>
          <w:szCs w:val="20"/>
        </w:rPr>
      </w:pPr>
      <w:r w:rsidRPr="007F5ABA">
        <w:rPr>
          <w:rFonts w:ascii="Arial" w:hAnsi="Arial" w:cs="Arial"/>
          <w:i/>
          <w:sz w:val="20"/>
          <w:szCs w:val="20"/>
        </w:rPr>
        <w:t>a) la tête entière (à l'exception de la langue), y compris la cervelle, les yeux, les ganglions trigéminés et les amygdales,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F5ABA">
        <w:rPr>
          <w:rFonts w:ascii="Arial" w:hAnsi="Arial" w:cs="Arial"/>
          <w:i/>
          <w:sz w:val="20"/>
          <w:szCs w:val="20"/>
        </w:rPr>
        <w:t>le thymus, la rate et la moelle épinière des bovins âgés de plus de six mois, ainsi que les intestins du duodénum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F5ABA">
        <w:rPr>
          <w:rFonts w:ascii="Arial" w:hAnsi="Arial" w:cs="Arial"/>
          <w:i/>
          <w:sz w:val="20"/>
          <w:szCs w:val="20"/>
        </w:rPr>
        <w:t>jusqu'au rectum des bovins de tous âges;</w:t>
      </w:r>
    </w:p>
    <w:p w:rsidR="00F27A71" w:rsidRPr="007F5ABA" w:rsidRDefault="00F27A71" w:rsidP="00F27A71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i/>
          <w:sz w:val="20"/>
          <w:szCs w:val="20"/>
        </w:rPr>
      </w:pPr>
      <w:r w:rsidRPr="007F5ABA">
        <w:rPr>
          <w:rFonts w:ascii="Arial" w:hAnsi="Arial" w:cs="Arial"/>
          <w:i/>
          <w:sz w:val="20"/>
          <w:szCs w:val="20"/>
        </w:rPr>
        <w:t>b) la colonne vertébrale, y compris les ganglions de la racine dorsale, des bovins âgés de plus de 30 mois;</w:t>
      </w:r>
    </w:p>
    <w:p w:rsidR="00F27A71" w:rsidRDefault="00F27A71" w:rsidP="00F27A71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i/>
          <w:sz w:val="20"/>
          <w:szCs w:val="20"/>
        </w:rPr>
      </w:pPr>
      <w:r w:rsidRPr="007F5ABA">
        <w:rPr>
          <w:rFonts w:ascii="Arial" w:hAnsi="Arial" w:cs="Arial"/>
          <w:i/>
          <w:sz w:val="20"/>
          <w:szCs w:val="20"/>
        </w:rPr>
        <w:t>c) le crâne, y compris la cervelle et les yeux, les amygdales, la moelle épinière des ovins et des caprins âgés de plus de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F5ABA">
        <w:rPr>
          <w:rFonts w:ascii="Arial" w:hAnsi="Arial" w:cs="Arial"/>
          <w:i/>
          <w:sz w:val="20"/>
          <w:szCs w:val="20"/>
        </w:rPr>
        <w:t>12 mois ou qui présentent une incisive permanente ayant percé la gencive et la rate des ovins et des caprins de tous</w:t>
      </w:r>
      <w:r>
        <w:rPr>
          <w:rFonts w:ascii="Arial" w:hAnsi="Arial" w:cs="Arial"/>
          <w:i/>
          <w:sz w:val="20"/>
          <w:szCs w:val="20"/>
        </w:rPr>
        <w:t xml:space="preserve"> âges.</w:t>
      </w:r>
    </w:p>
    <w:p w:rsidR="00F27A71" w:rsidRPr="008C7E24" w:rsidRDefault="00CF4D4E" w:rsidP="00F27A71">
      <w:pPr>
        <w:pStyle w:val="Paragraphedeliste"/>
        <w:numPr>
          <w:ilvl w:val="0"/>
          <w:numId w:val="6"/>
        </w:numPr>
        <w:ind w:left="284"/>
        <w:rPr>
          <w:rFonts w:ascii="Arial" w:hAnsi="Arial" w:cs="Arial"/>
          <w:b/>
          <w:sz w:val="20"/>
          <w:szCs w:val="20"/>
          <w:u w:val="single"/>
        </w:rPr>
      </w:pPr>
      <w:bookmarkStart w:id="7" w:name="DCT"/>
      <w:r>
        <w:rPr>
          <w:rFonts w:ascii="Arial" w:hAnsi="Arial" w:cs="Arial"/>
          <w:b/>
          <w:sz w:val="20"/>
          <w:szCs w:val="20"/>
          <w:u w:val="single"/>
        </w:rPr>
        <w:t>Déchets de cuisine et de table</w:t>
      </w:r>
      <w:r w:rsidR="00F27A71" w:rsidRPr="008C7E2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bookmarkEnd w:id="7"/>
    <w:p w:rsidR="00F27A71" w:rsidRDefault="00F27A71" w:rsidP="00F27A71">
      <w:pPr>
        <w:pStyle w:val="Paragraphedeliste"/>
        <w:ind w:left="284"/>
        <w:rPr>
          <w:rFonts w:ascii="Arial" w:eastAsia="Times New Roman" w:hAnsi="Arial" w:cs="Arial"/>
          <w:i/>
          <w:sz w:val="20"/>
          <w:szCs w:val="20"/>
          <w:lang w:eastAsia="fr-BE"/>
        </w:rPr>
      </w:pPr>
      <w:r w:rsidRPr="008C7E24">
        <w:rPr>
          <w:rFonts w:ascii="Arial" w:eastAsia="Times New Roman" w:hAnsi="Arial" w:cs="Arial"/>
          <w:sz w:val="20"/>
          <w:szCs w:val="20"/>
          <w:lang w:eastAsia="fr-BE"/>
        </w:rPr>
        <w:t>[</w:t>
      </w:r>
      <w:proofErr w:type="gramStart"/>
      <w:r w:rsidRPr="008C7E24">
        <w:rPr>
          <w:rFonts w:ascii="Arial" w:hAnsi="Arial" w:cs="Arial"/>
          <w:sz w:val="20"/>
          <w:szCs w:val="20"/>
        </w:rPr>
        <w:t>point</w:t>
      </w:r>
      <w:proofErr w:type="gramEnd"/>
      <w:r w:rsidRPr="008C7E24">
        <w:rPr>
          <w:rFonts w:ascii="Arial" w:hAnsi="Arial" w:cs="Arial"/>
          <w:sz w:val="20"/>
          <w:szCs w:val="20"/>
        </w:rPr>
        <w:t xml:space="preserve"> 22. de l’annexe I du Règlement 142/2011/UE</w:t>
      </w:r>
      <w:r w:rsidRPr="008C7E24">
        <w:rPr>
          <w:rFonts w:ascii="Arial" w:eastAsia="Times New Roman" w:hAnsi="Arial" w:cs="Arial"/>
          <w:sz w:val="20"/>
          <w:szCs w:val="20"/>
          <w:lang w:eastAsia="fr-BE"/>
        </w:rPr>
        <w:t>]</w:t>
      </w:r>
    </w:p>
    <w:p w:rsidR="00F27A71" w:rsidRDefault="00F27A71" w:rsidP="00F27A71">
      <w:pPr>
        <w:pStyle w:val="Paragraphedeliste"/>
        <w:ind w:left="284"/>
        <w:rPr>
          <w:rFonts w:ascii="Arial" w:eastAsia="Times New Roman" w:hAnsi="Arial" w:cs="Arial"/>
          <w:sz w:val="20"/>
          <w:szCs w:val="20"/>
          <w:lang w:eastAsia="fr-BE"/>
        </w:rPr>
      </w:pPr>
      <w:r>
        <w:rPr>
          <w:rFonts w:ascii="Arial" w:eastAsia="Times New Roman" w:hAnsi="Arial" w:cs="Arial"/>
          <w:i/>
          <w:sz w:val="20"/>
          <w:szCs w:val="20"/>
          <w:lang w:eastAsia="fr-BE"/>
        </w:rPr>
        <w:t>T</w:t>
      </w:r>
      <w:r w:rsidRPr="008C7E24">
        <w:rPr>
          <w:rFonts w:ascii="Arial" w:eastAsia="Times New Roman" w:hAnsi="Arial" w:cs="Arial"/>
          <w:i/>
          <w:sz w:val="20"/>
          <w:szCs w:val="20"/>
          <w:lang w:eastAsia="fr-BE"/>
        </w:rPr>
        <w:t>ous les déchets d’aliments y compris les huiles de cuisson usagées provenant de la restauration et des cuisines, y compris les cuisines centrales et les cuisines des ménages »</w:t>
      </w:r>
      <w:r w:rsidRPr="008C7E24">
        <w:rPr>
          <w:rFonts w:ascii="Arial" w:eastAsia="Times New Roman" w:hAnsi="Arial" w:cs="Arial"/>
          <w:sz w:val="20"/>
          <w:szCs w:val="20"/>
          <w:lang w:eastAsia="fr-BE"/>
        </w:rPr>
        <w:t>.</w:t>
      </w:r>
    </w:p>
    <w:p w:rsidR="00F27A71" w:rsidRPr="008C7E24" w:rsidRDefault="00F27A71" w:rsidP="00F27A71">
      <w:pPr>
        <w:pStyle w:val="Paragraphedeliste"/>
        <w:ind w:left="284"/>
        <w:rPr>
          <w:rFonts w:ascii="Arial" w:eastAsia="Times New Roman" w:hAnsi="Arial" w:cs="Arial"/>
          <w:sz w:val="20"/>
          <w:szCs w:val="20"/>
          <w:lang w:eastAsia="fr-BE"/>
        </w:rPr>
      </w:pPr>
    </w:p>
    <w:p w:rsidR="00F27A71" w:rsidRDefault="00F27A71" w:rsidP="00F27A71">
      <w:pPr>
        <w:pStyle w:val="Paragraphedeliste"/>
        <w:numPr>
          <w:ilvl w:val="0"/>
          <w:numId w:val="6"/>
        </w:numPr>
        <w:ind w:left="284"/>
        <w:rPr>
          <w:rFonts w:ascii="Arial" w:hAnsi="Arial" w:cs="Arial"/>
          <w:b/>
          <w:sz w:val="20"/>
          <w:szCs w:val="20"/>
          <w:u w:val="single"/>
        </w:rPr>
      </w:pPr>
      <w:bookmarkStart w:id="8" w:name="ADA"/>
      <w:r w:rsidRPr="008C7E24">
        <w:rPr>
          <w:rFonts w:ascii="Arial" w:hAnsi="Arial" w:cs="Arial"/>
          <w:b/>
          <w:sz w:val="20"/>
          <w:szCs w:val="20"/>
          <w:u w:val="single"/>
        </w:rPr>
        <w:t>Les anciennes denrées alimentaires (ADA)</w:t>
      </w:r>
      <w:r>
        <w:rPr>
          <w:rFonts w:ascii="Arial" w:hAnsi="Arial" w:cs="Arial"/>
          <w:b/>
          <w:sz w:val="20"/>
          <w:szCs w:val="20"/>
          <w:u w:val="single"/>
        </w:rPr>
        <w:t> :</w:t>
      </w:r>
    </w:p>
    <w:bookmarkEnd w:id="8"/>
    <w:p w:rsidR="00F27A71" w:rsidRPr="008C7E24" w:rsidRDefault="00F27A71" w:rsidP="00F27A71">
      <w:pPr>
        <w:pStyle w:val="Paragraphedeliste"/>
        <w:ind w:left="284"/>
        <w:rPr>
          <w:rFonts w:ascii="Arial" w:hAnsi="Arial" w:cs="Arial"/>
          <w:sz w:val="20"/>
          <w:szCs w:val="20"/>
          <w:lang w:eastAsia="fr-BE"/>
        </w:rPr>
      </w:pPr>
      <w:r w:rsidRPr="008C7E24">
        <w:rPr>
          <w:rFonts w:ascii="Arial" w:hAnsi="Arial" w:cs="Arial"/>
          <w:sz w:val="20"/>
          <w:szCs w:val="20"/>
          <w:lang w:val="fr-FR" w:eastAsia="fr-BE"/>
        </w:rPr>
        <w:t>[</w:t>
      </w:r>
      <w:proofErr w:type="gramStart"/>
      <w:r w:rsidRPr="008C7E24">
        <w:rPr>
          <w:rFonts w:ascii="Arial" w:hAnsi="Arial" w:cs="Arial"/>
          <w:sz w:val="20"/>
          <w:szCs w:val="20"/>
          <w:lang w:val="fr-FR" w:eastAsia="fr-BE"/>
        </w:rPr>
        <w:t>art</w:t>
      </w:r>
      <w:proofErr w:type="gramEnd"/>
      <w:r w:rsidRPr="008C7E24">
        <w:rPr>
          <w:rFonts w:ascii="Arial" w:hAnsi="Arial" w:cs="Arial"/>
          <w:sz w:val="20"/>
          <w:szCs w:val="20"/>
          <w:lang w:val="fr-FR" w:eastAsia="fr-BE"/>
        </w:rPr>
        <w:t>. 10. f) du Règlement 1069/2009/CE]</w:t>
      </w:r>
    </w:p>
    <w:p w:rsidR="00F27A71" w:rsidRPr="00995046" w:rsidRDefault="00F27A71" w:rsidP="00F27A71">
      <w:pPr>
        <w:pStyle w:val="Paragraphedeliste"/>
        <w:spacing w:after="0"/>
        <w:ind w:left="284"/>
        <w:rPr>
          <w:rFonts w:ascii="Arial" w:hAnsi="Arial" w:cs="Arial"/>
          <w:i/>
          <w:sz w:val="20"/>
          <w:szCs w:val="20"/>
          <w:lang w:val="fr-FR" w:eastAsia="fr-BE"/>
        </w:rPr>
      </w:pPr>
      <w:r>
        <w:rPr>
          <w:rFonts w:ascii="Arial" w:hAnsi="Arial" w:cs="Arial"/>
          <w:i/>
          <w:sz w:val="20"/>
          <w:szCs w:val="20"/>
          <w:lang w:eastAsia="fr-BE"/>
        </w:rPr>
        <w:t>L</w:t>
      </w:r>
      <w:r w:rsidRPr="008C7E24">
        <w:rPr>
          <w:rFonts w:ascii="Arial" w:hAnsi="Arial" w:cs="Arial"/>
          <w:i/>
          <w:sz w:val="20"/>
          <w:szCs w:val="20"/>
          <w:lang w:val="fr-FR" w:eastAsia="fr-BE"/>
        </w:rPr>
        <w:t>es produits d’origine animale qui ne sont plus destinés à la consommation humaine pour des raisons commerciales ou en raison de défauts de fabrication ou d’emballage ou d’autres défauts n’entraînant aucun risque pour la santé humaine ou animale</w:t>
      </w:r>
      <w:r>
        <w:rPr>
          <w:rFonts w:ascii="Arial" w:hAnsi="Arial" w:cs="Arial"/>
          <w:i/>
          <w:sz w:val="20"/>
          <w:szCs w:val="20"/>
          <w:lang w:val="fr-FR" w:eastAsia="fr-BE"/>
        </w:rPr>
        <w:t>.</w:t>
      </w:r>
    </w:p>
    <w:p w:rsidR="00F27A71" w:rsidRDefault="00F27A71" w:rsidP="00F27A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BE"/>
        </w:rPr>
      </w:pPr>
    </w:p>
    <w:p w:rsidR="00F27A71" w:rsidRDefault="00F27A71" w:rsidP="00F27A71">
      <w:pPr>
        <w:pStyle w:val="Paragraphedeliste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b/>
          <w:sz w:val="20"/>
          <w:szCs w:val="20"/>
          <w:u w:val="single"/>
        </w:rPr>
      </w:pPr>
      <w:bookmarkStart w:id="9" w:name="Carcasse"/>
      <w:r>
        <w:rPr>
          <w:rFonts w:ascii="Arial" w:hAnsi="Arial" w:cs="Arial"/>
          <w:b/>
          <w:sz w:val="20"/>
          <w:szCs w:val="20"/>
          <w:u w:val="single"/>
        </w:rPr>
        <w:t>Carcasse</w:t>
      </w:r>
      <w:bookmarkEnd w:id="9"/>
      <w:r>
        <w:rPr>
          <w:rFonts w:ascii="Arial" w:hAnsi="Arial" w:cs="Arial"/>
          <w:b/>
          <w:sz w:val="20"/>
          <w:szCs w:val="20"/>
          <w:u w:val="single"/>
        </w:rPr>
        <w:t> :</w:t>
      </w:r>
    </w:p>
    <w:p w:rsidR="00F27A71" w:rsidRPr="00995046" w:rsidRDefault="00F27A71" w:rsidP="00F27A71">
      <w:pPr>
        <w:pStyle w:val="Paragraphedeliste"/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  <w:r w:rsidRPr="0003189D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Règlement 853/2004/CE</w:t>
      </w:r>
      <w:r>
        <w:rPr>
          <w:rFonts w:ascii="Arial" w:eastAsia="Times New Roman" w:hAnsi="Arial" w:cs="Arial"/>
          <w:sz w:val="20"/>
          <w:szCs w:val="20"/>
          <w:lang w:eastAsia="fr-BE"/>
        </w:rPr>
        <w:t>]</w:t>
      </w:r>
    </w:p>
    <w:p w:rsidR="00F27A71" w:rsidRPr="000624D4" w:rsidRDefault="00F27A71" w:rsidP="00F27A71">
      <w:pPr>
        <w:spacing w:after="0"/>
        <w:ind w:left="284"/>
        <w:rPr>
          <w:rFonts w:ascii="Arial" w:eastAsia="Times New Roman" w:hAnsi="Arial" w:cs="Arial"/>
          <w:i/>
          <w:sz w:val="20"/>
          <w:szCs w:val="20"/>
          <w:lang w:eastAsia="fr-BE"/>
        </w:rPr>
      </w:pPr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Le corps d’un animal de boucherie après l’abattage et </w:t>
      </w:r>
      <w:hyperlink w:anchor="Habillage" w:history="1">
        <w:r w:rsidRPr="008577DE">
          <w:rPr>
            <w:rStyle w:val="Lienhypertexte"/>
            <w:rFonts w:ascii="Arial" w:eastAsia="Times New Roman" w:hAnsi="Arial" w:cs="Arial"/>
            <w:i/>
            <w:sz w:val="20"/>
            <w:szCs w:val="20"/>
            <w:lang w:eastAsia="fr-BE"/>
          </w:rPr>
          <w:t>l’habillage</w:t>
        </w:r>
      </w:hyperlink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 </w:t>
      </w:r>
    </w:p>
    <w:p w:rsidR="00CF4D4E" w:rsidRDefault="00CF4D4E" w:rsidP="00CF4D4E">
      <w:pPr>
        <w:pStyle w:val="Paragraphedeliste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u w:val="single"/>
          <w:lang w:eastAsia="fr-BE"/>
        </w:rPr>
      </w:pPr>
    </w:p>
    <w:p w:rsidR="00CF4D4E" w:rsidRPr="000954B0" w:rsidRDefault="00CF4D4E" w:rsidP="00CF4D4E">
      <w:pPr>
        <w:pStyle w:val="Paragraphedeliste"/>
        <w:numPr>
          <w:ilvl w:val="0"/>
          <w:numId w:val="6"/>
        </w:num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u w:val="single"/>
          <w:lang w:eastAsia="fr-BE"/>
        </w:rPr>
      </w:pPr>
      <w:bookmarkStart w:id="10" w:name="Habillage"/>
      <w:r w:rsidRPr="000954B0">
        <w:rPr>
          <w:rFonts w:ascii="Arial" w:eastAsia="Times New Roman" w:hAnsi="Arial" w:cs="Arial"/>
          <w:b/>
          <w:sz w:val="20"/>
          <w:szCs w:val="20"/>
          <w:u w:val="single"/>
          <w:lang w:eastAsia="fr-BE"/>
        </w:rPr>
        <w:t xml:space="preserve">Habillage : </w:t>
      </w:r>
    </w:p>
    <w:bookmarkEnd w:id="10"/>
    <w:p w:rsidR="00CF4D4E" w:rsidRPr="000954B0" w:rsidRDefault="00CF4D4E" w:rsidP="00CF4D4E">
      <w:pPr>
        <w:pStyle w:val="Paragraphedeliste"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fr-BE"/>
        </w:rPr>
      </w:pPr>
      <w:r w:rsidRPr="000954B0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Préparer à être cuisiné (déplumer/écorcher et vider) </w:t>
      </w:r>
    </w:p>
    <w:p w:rsidR="00F27A71" w:rsidRPr="00346CE8" w:rsidRDefault="00F27A71" w:rsidP="00F27A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fr-BE"/>
        </w:rPr>
      </w:pPr>
    </w:p>
    <w:p w:rsidR="00F27A71" w:rsidRPr="00995046" w:rsidRDefault="00F27A71" w:rsidP="00F27A71">
      <w:pPr>
        <w:pStyle w:val="Paragraphedeliste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b/>
          <w:sz w:val="20"/>
          <w:szCs w:val="20"/>
          <w:u w:val="single"/>
        </w:rPr>
      </w:pPr>
      <w:bookmarkStart w:id="11" w:name="animal_aquatique"/>
      <w:r>
        <w:rPr>
          <w:rFonts w:ascii="Arial" w:hAnsi="Arial" w:cs="Arial"/>
          <w:b/>
          <w:sz w:val="20"/>
          <w:szCs w:val="20"/>
          <w:u w:val="single"/>
        </w:rPr>
        <w:t>Animal aquatique </w:t>
      </w:r>
      <w:bookmarkEnd w:id="11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F27A71" w:rsidRPr="0003189D" w:rsidRDefault="00CF4D4E" w:rsidP="00CF4D4E">
      <w:pPr>
        <w:pStyle w:val="Paragraphedeliste"/>
        <w:spacing w:after="0"/>
        <w:ind w:left="284"/>
        <w:rPr>
          <w:rFonts w:ascii="Arial" w:hAnsi="Arial" w:cs="Arial"/>
          <w:sz w:val="20"/>
          <w:szCs w:val="20"/>
          <w:lang w:val="fr-FR" w:eastAsia="fr-BE"/>
        </w:rPr>
      </w:pPr>
      <w:r w:rsidRPr="0003189D">
        <w:rPr>
          <w:rFonts w:ascii="Arial" w:hAnsi="Arial" w:cs="Arial"/>
          <w:sz w:val="20"/>
          <w:szCs w:val="20"/>
          <w:lang w:val="fr-FR" w:eastAsia="fr-BE"/>
        </w:rPr>
        <w:t xml:space="preserve"> </w:t>
      </w:r>
      <w:r w:rsidR="00F27A71" w:rsidRPr="0003189D">
        <w:rPr>
          <w:rFonts w:ascii="Arial" w:hAnsi="Arial" w:cs="Arial"/>
          <w:sz w:val="20"/>
          <w:szCs w:val="20"/>
          <w:lang w:val="fr-FR" w:eastAsia="fr-BE"/>
        </w:rPr>
        <w:t>[art. 3</w:t>
      </w:r>
      <w:proofErr w:type="gramStart"/>
      <w:r w:rsidR="00F27A71" w:rsidRPr="0003189D">
        <w:rPr>
          <w:rFonts w:ascii="Arial" w:hAnsi="Arial" w:cs="Arial"/>
          <w:sz w:val="20"/>
          <w:szCs w:val="20"/>
          <w:lang w:val="fr-FR" w:eastAsia="fr-BE"/>
        </w:rPr>
        <w:t>,paragraphe</w:t>
      </w:r>
      <w:proofErr w:type="gramEnd"/>
      <w:r w:rsidR="00F27A71" w:rsidRPr="0003189D">
        <w:rPr>
          <w:rFonts w:ascii="Arial" w:hAnsi="Arial" w:cs="Arial"/>
          <w:sz w:val="20"/>
          <w:szCs w:val="20"/>
          <w:lang w:val="fr-FR" w:eastAsia="fr-BE"/>
        </w:rPr>
        <w:t xml:space="preserve"> 1, point e), de la directive 2006/88/CE]</w:t>
      </w:r>
    </w:p>
    <w:p w:rsidR="00F27A71" w:rsidRPr="000624D4" w:rsidRDefault="00F27A71" w:rsidP="000954B0">
      <w:pPr>
        <w:spacing w:after="0"/>
        <w:ind w:left="284"/>
        <w:rPr>
          <w:rFonts w:ascii="Arial" w:eastAsia="Times New Roman" w:hAnsi="Arial" w:cs="Arial"/>
          <w:i/>
          <w:sz w:val="20"/>
          <w:szCs w:val="20"/>
          <w:lang w:eastAsia="fr-BE"/>
        </w:rPr>
      </w:pPr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i) tout poisson de la </w:t>
      </w:r>
      <w:proofErr w:type="spellStart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>super-classe</w:t>
      </w:r>
      <w:proofErr w:type="spellEnd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 des </w:t>
      </w:r>
      <w:proofErr w:type="spellStart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>Agnatha</w:t>
      </w:r>
      <w:proofErr w:type="spellEnd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 et des classes des </w:t>
      </w:r>
      <w:proofErr w:type="spellStart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>Chondrichthyes</w:t>
      </w:r>
      <w:proofErr w:type="spellEnd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 et des </w:t>
      </w:r>
      <w:proofErr w:type="spellStart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>Osteichthyes</w:t>
      </w:r>
      <w:proofErr w:type="spellEnd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 </w:t>
      </w:r>
    </w:p>
    <w:p w:rsidR="00F27A71" w:rsidRPr="000624D4" w:rsidRDefault="00F27A71" w:rsidP="000954B0">
      <w:pPr>
        <w:spacing w:after="0"/>
        <w:ind w:left="284"/>
        <w:rPr>
          <w:rFonts w:ascii="Arial" w:eastAsia="Times New Roman" w:hAnsi="Arial" w:cs="Arial"/>
          <w:i/>
          <w:sz w:val="20"/>
          <w:szCs w:val="20"/>
          <w:lang w:eastAsia="fr-BE"/>
        </w:rPr>
      </w:pPr>
      <w:r w:rsidRPr="000624D4">
        <w:rPr>
          <w:rFonts w:ascii="Arial" w:hAnsi="Arial" w:cs="Arial"/>
          <w:i/>
          <w:sz w:val="20"/>
          <w:szCs w:val="20"/>
          <w:lang w:eastAsia="fr-BE"/>
        </w:rPr>
        <w:t xml:space="preserve">ii) tout mollusque du phylum des </w:t>
      </w:r>
      <w:proofErr w:type="spellStart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>Mollusca</w:t>
      </w:r>
      <w:proofErr w:type="spellEnd"/>
    </w:p>
    <w:p w:rsidR="00F27A71" w:rsidRDefault="00F27A71" w:rsidP="000954B0">
      <w:pPr>
        <w:ind w:left="284"/>
        <w:rPr>
          <w:rFonts w:ascii="Arial" w:eastAsia="Times New Roman" w:hAnsi="Arial" w:cs="Arial"/>
          <w:i/>
          <w:sz w:val="20"/>
          <w:szCs w:val="20"/>
          <w:lang w:eastAsia="fr-BE"/>
        </w:rPr>
      </w:pPr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iii) tout crustacé du </w:t>
      </w:r>
      <w:proofErr w:type="spellStart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>subphylum</w:t>
      </w:r>
      <w:proofErr w:type="spellEnd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 xml:space="preserve"> des </w:t>
      </w:r>
      <w:proofErr w:type="spellStart"/>
      <w:r w:rsidRPr="000624D4">
        <w:rPr>
          <w:rFonts w:ascii="Arial" w:eastAsia="Times New Roman" w:hAnsi="Arial" w:cs="Arial"/>
          <w:i/>
          <w:sz w:val="20"/>
          <w:szCs w:val="20"/>
          <w:lang w:eastAsia="fr-BE"/>
        </w:rPr>
        <w:t>Crustacea</w:t>
      </w:r>
      <w:proofErr w:type="spellEnd"/>
    </w:p>
    <w:p w:rsidR="00F27A71" w:rsidRDefault="00F27A71" w:rsidP="00F27A71">
      <w:pPr>
        <w:pStyle w:val="Paragraphedeliste"/>
        <w:numPr>
          <w:ilvl w:val="0"/>
          <w:numId w:val="6"/>
        </w:numPr>
        <w:suppressAutoHyphens/>
        <w:ind w:left="284"/>
        <w:rPr>
          <w:rFonts w:ascii="Arial" w:hAnsi="Arial" w:cs="Arial"/>
          <w:sz w:val="20"/>
          <w:szCs w:val="20"/>
        </w:rPr>
      </w:pPr>
      <w:bookmarkStart w:id="12" w:name="animal_familier"/>
      <w:r w:rsidRPr="00F27A71">
        <w:rPr>
          <w:rFonts w:ascii="Arial" w:hAnsi="Arial" w:cs="Arial"/>
          <w:b/>
          <w:sz w:val="20"/>
          <w:szCs w:val="20"/>
          <w:u w:val="single"/>
        </w:rPr>
        <w:t>Animal familier</w:t>
      </w:r>
      <w:r>
        <w:rPr>
          <w:rFonts w:ascii="Arial" w:hAnsi="Arial" w:cs="Arial"/>
          <w:b/>
          <w:sz w:val="20"/>
          <w:szCs w:val="20"/>
          <w:u w:val="single"/>
        </w:rPr>
        <w:t> :</w:t>
      </w:r>
      <w:r w:rsidRPr="00F27A71">
        <w:rPr>
          <w:rFonts w:ascii="Arial" w:hAnsi="Arial" w:cs="Arial"/>
          <w:sz w:val="20"/>
          <w:szCs w:val="20"/>
        </w:rPr>
        <w:t xml:space="preserve"> </w:t>
      </w:r>
    </w:p>
    <w:bookmarkEnd w:id="12"/>
    <w:p w:rsidR="00F27A71" w:rsidRDefault="00F27A71" w:rsidP="00F27A71">
      <w:pPr>
        <w:pStyle w:val="Paragraphedeliste"/>
        <w:suppressAutoHyphens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[art.3 point 8. </w:t>
      </w:r>
      <w:r w:rsidR="001560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 Règlement 1069/2009/CE]</w:t>
      </w:r>
    </w:p>
    <w:p w:rsidR="00F27A71" w:rsidRPr="00F27A71" w:rsidRDefault="00F27A71" w:rsidP="00F27A71">
      <w:pPr>
        <w:pStyle w:val="Paragraphedeliste"/>
        <w:suppressAutoHyphens/>
        <w:ind w:left="284"/>
        <w:rPr>
          <w:rFonts w:ascii="Arial" w:hAnsi="Arial" w:cs="Arial"/>
          <w:i/>
          <w:sz w:val="20"/>
          <w:szCs w:val="20"/>
        </w:rPr>
      </w:pPr>
      <w:r w:rsidRPr="00F27A71">
        <w:rPr>
          <w:rFonts w:ascii="Arial" w:hAnsi="Arial" w:cs="Arial"/>
          <w:i/>
          <w:sz w:val="20"/>
          <w:szCs w:val="20"/>
          <w:lang w:val="fr-FR" w:eastAsia="fr-BE"/>
        </w:rPr>
        <w:t>Tout animal appartenant à une espèce généralement nourrie et détenue, mais non consommée,</w:t>
      </w:r>
      <w:r w:rsidRPr="00F27A71">
        <w:rPr>
          <w:rFonts w:ascii="Arial" w:hAnsi="Arial" w:cs="Arial"/>
          <w:i/>
          <w:sz w:val="20"/>
          <w:szCs w:val="20"/>
        </w:rPr>
        <w:t xml:space="preserve"> par les êtres humains dans un but autre que l’élevage;</w:t>
      </w:r>
    </w:p>
    <w:p w:rsidR="000954B0" w:rsidRPr="00156005" w:rsidRDefault="000954B0" w:rsidP="00156005">
      <w:pPr>
        <w:pStyle w:val="Paragraphedeliste"/>
        <w:suppressAutoHyphens/>
        <w:ind w:left="284"/>
        <w:rPr>
          <w:rFonts w:ascii="Arial" w:hAnsi="Arial" w:cs="Arial"/>
          <w:i/>
          <w:sz w:val="20"/>
          <w:szCs w:val="20"/>
        </w:rPr>
      </w:pPr>
    </w:p>
    <w:p w:rsidR="000954B0" w:rsidRPr="000954B0" w:rsidRDefault="005056DB" w:rsidP="000954B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13" w:name="Lisier"/>
      <w:r>
        <w:rPr>
          <w:rFonts w:ascii="Arial" w:hAnsi="Arial" w:cs="Arial"/>
          <w:b/>
          <w:color w:val="000000"/>
          <w:sz w:val="20"/>
          <w:szCs w:val="20"/>
          <w:u w:val="single"/>
        </w:rPr>
        <w:t>Fumier/</w:t>
      </w:r>
      <w:r w:rsidR="005C293A" w:rsidRPr="000954B0">
        <w:rPr>
          <w:rFonts w:ascii="Arial" w:hAnsi="Arial" w:cs="Arial"/>
          <w:b/>
          <w:color w:val="000000"/>
          <w:sz w:val="20"/>
          <w:szCs w:val="20"/>
          <w:u w:val="single"/>
        </w:rPr>
        <w:t>Lisier</w:t>
      </w:r>
      <w:r w:rsidR="000954B0" w:rsidRPr="000954B0">
        <w:rPr>
          <w:rFonts w:ascii="Arial" w:hAnsi="Arial" w:cs="Arial"/>
          <w:b/>
          <w:color w:val="000000"/>
          <w:sz w:val="20"/>
          <w:szCs w:val="20"/>
          <w:u w:val="single"/>
        </w:rPr>
        <w:t> </w:t>
      </w:r>
      <w:bookmarkEnd w:id="13"/>
      <w:r w:rsidR="000954B0" w:rsidRPr="000954B0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:rsidR="000954B0" w:rsidRDefault="000954B0" w:rsidP="000954B0">
      <w:pPr>
        <w:pStyle w:val="Paragraphedeliste"/>
        <w:suppressAutoHyphens/>
        <w:ind w:left="284"/>
        <w:rPr>
          <w:rFonts w:ascii="Arial" w:hAnsi="Arial" w:cs="Arial"/>
          <w:sz w:val="20"/>
          <w:szCs w:val="20"/>
        </w:rPr>
      </w:pPr>
      <w:r w:rsidRPr="000954B0">
        <w:rPr>
          <w:rFonts w:ascii="Arial" w:hAnsi="Arial" w:cs="Arial"/>
          <w:sz w:val="20"/>
          <w:szCs w:val="20"/>
        </w:rPr>
        <w:t xml:space="preserve">[art.3 point </w:t>
      </w:r>
      <w:r>
        <w:rPr>
          <w:rFonts w:ascii="Arial" w:hAnsi="Arial" w:cs="Arial"/>
          <w:sz w:val="20"/>
          <w:szCs w:val="20"/>
        </w:rPr>
        <w:t>20</w:t>
      </w:r>
      <w:r w:rsidRPr="000954B0">
        <w:rPr>
          <w:rFonts w:ascii="Arial" w:hAnsi="Arial" w:cs="Arial"/>
          <w:sz w:val="20"/>
          <w:szCs w:val="20"/>
        </w:rPr>
        <w:t>. du Règlement 1069/2009/CE]</w:t>
      </w:r>
    </w:p>
    <w:p w:rsidR="005C293A" w:rsidRPr="000954B0" w:rsidRDefault="000954B0" w:rsidP="000954B0">
      <w:pPr>
        <w:pStyle w:val="Paragraphedeliste"/>
        <w:suppressAutoHyphens/>
        <w:ind w:left="284"/>
        <w:rPr>
          <w:rFonts w:ascii="Arial" w:hAnsi="Arial" w:cs="Arial"/>
          <w:sz w:val="20"/>
          <w:szCs w:val="20"/>
        </w:rPr>
      </w:pPr>
      <w:r w:rsidRPr="000954B0">
        <w:rPr>
          <w:rFonts w:ascii="Arial" w:hAnsi="Arial" w:cs="Arial"/>
          <w:sz w:val="20"/>
          <w:szCs w:val="20"/>
        </w:rPr>
        <w:t>T</w:t>
      </w:r>
      <w:r w:rsidR="005C293A" w:rsidRPr="000954B0">
        <w:rPr>
          <w:rFonts w:ascii="Arial" w:hAnsi="Arial" w:cs="Arial"/>
          <w:i/>
          <w:color w:val="000000"/>
          <w:sz w:val="20"/>
          <w:szCs w:val="20"/>
        </w:rPr>
        <w:t>out excrément et/ou urine d’animaux d’élevage autres que les poissons, avec ou sans litière;</w:t>
      </w:r>
    </w:p>
    <w:p w:rsidR="000954B0" w:rsidRDefault="000954B0" w:rsidP="000954B0">
      <w:pPr>
        <w:pStyle w:val="Paragraphedeliste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fr-BE"/>
        </w:rPr>
      </w:pPr>
    </w:p>
    <w:p w:rsidR="00CF4D4E" w:rsidRDefault="00CF4D4E"/>
    <w:sectPr w:rsidR="00CF4D4E" w:rsidSect="0046398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32" w:rsidRDefault="00662132" w:rsidP="00662132">
      <w:pPr>
        <w:spacing w:after="0" w:line="240" w:lineRule="auto"/>
      </w:pPr>
      <w:r>
        <w:separator/>
      </w:r>
    </w:p>
  </w:endnote>
  <w:endnote w:type="continuationSeparator" w:id="0">
    <w:p w:rsidR="00662132" w:rsidRDefault="00662132" w:rsidP="0066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B6" w:rsidRDefault="002031EA" w:rsidP="004823B6">
    <w:pPr>
      <w:pStyle w:val="Pieddepage"/>
      <w:jc w:val="center"/>
    </w:pPr>
    <w:r>
      <w:rPr>
        <w:noProof/>
        <w:lang w:eastAsia="fr-BE"/>
      </w:rPr>
      <w:drawing>
        <wp:anchor distT="0" distB="0" distL="114300" distR="114300" simplePos="0" relativeHeight="251662336" behindDoc="0" locked="0" layoutInCell="1" allowOverlap="1" wp14:anchorId="3EE88297" wp14:editId="78E6C015">
          <wp:simplePos x="0" y="0"/>
          <wp:positionH relativeFrom="column">
            <wp:posOffset>-635</wp:posOffset>
          </wp:positionH>
          <wp:positionV relativeFrom="paragraph">
            <wp:posOffset>-264795</wp:posOffset>
          </wp:positionV>
          <wp:extent cx="510540" cy="510540"/>
          <wp:effectExtent l="0" t="0" r="3810" b="3810"/>
          <wp:wrapNone/>
          <wp:docPr id="9" name="Image 9" descr="K:\05_INFOCOM\01_INTERN_COM\04_COMMUNICATIONS\03_INTRANET\01_PAGES\05_DOCU_INTERNES\CHARTE_GRAPHIQUE\ILLU_FRNL_LogoBEAr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05_INFOCOM\01_INTERN_COM\04_COMMUNICATIONS\03_INTRANET\01_PAGES\05_DOCU_INTERNES\CHARTE_GRAPHIQUE\ILLU_FRNL_LogoBEArb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Mise à jour – </w:t>
    </w:r>
    <w:r w:rsidR="008A1D50">
      <w:t>1</w:t>
    </w:r>
    <w:r w:rsidR="005C621D">
      <w:t>8/11/2019</w:t>
    </w:r>
    <w:r>
      <w:ptab w:relativeTo="margin" w:alignment="right" w:leader="none"/>
    </w:r>
    <w:sdt>
      <w:sdtPr>
        <w:id w:val="-160842463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7E56" w:rsidRPr="00DE7E56">
          <w:rPr>
            <w:noProof/>
            <w:lang w:val="fr-FR"/>
          </w:rPr>
          <w:t>6</w:t>
        </w:r>
        <w:r>
          <w:fldChar w:fldCharType="end"/>
        </w:r>
        <w:r>
          <w:t>/</w:t>
        </w:r>
        <w:r w:rsidR="005C621D">
          <w:t>6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EA" w:rsidRDefault="00D3607F" w:rsidP="002031EA">
    <w:pPr>
      <w:pStyle w:val="Pieddepage"/>
      <w:jc w:val="right"/>
    </w:pPr>
    <w:r>
      <w:rPr>
        <w:noProof/>
        <w:lang w:eastAsia="fr-BE"/>
      </w:rPr>
      <w:drawing>
        <wp:anchor distT="0" distB="0" distL="114300" distR="114300" simplePos="0" relativeHeight="251664384" behindDoc="1" locked="0" layoutInCell="1" allowOverlap="1" wp14:anchorId="2DAAA52F" wp14:editId="068FC1E9">
          <wp:simplePos x="0" y="0"/>
          <wp:positionH relativeFrom="page">
            <wp:posOffset>638810</wp:posOffset>
          </wp:positionH>
          <wp:positionV relativeFrom="page">
            <wp:posOffset>9648190</wp:posOffset>
          </wp:positionV>
          <wp:extent cx="6496749" cy="110637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footer_20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749" cy="11063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981" w:rsidRDefault="002B2A23" w:rsidP="002B2A23">
    <w:pPr>
      <w:pStyle w:val="Pieddepage"/>
      <w:tabs>
        <w:tab w:val="clear" w:pos="4536"/>
        <w:tab w:val="clear" w:pos="9072"/>
        <w:tab w:val="left" w:pos="340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32" w:rsidRDefault="00662132" w:rsidP="00662132">
      <w:pPr>
        <w:spacing w:after="0" w:line="240" w:lineRule="auto"/>
      </w:pPr>
      <w:r>
        <w:separator/>
      </w:r>
    </w:p>
  </w:footnote>
  <w:footnote w:type="continuationSeparator" w:id="0">
    <w:p w:rsidR="00662132" w:rsidRDefault="00662132" w:rsidP="0066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32" w:rsidRDefault="00662132" w:rsidP="00662132">
    <w:pPr>
      <w:pStyle w:val="En-tte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981" w:rsidRDefault="002031EA" w:rsidP="002031EA">
    <w:pPr>
      <w:pStyle w:val="En-tte"/>
      <w:jc w:val="right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2F8B4811" wp14:editId="0D58834E">
          <wp:simplePos x="0" y="0"/>
          <wp:positionH relativeFrom="page">
            <wp:posOffset>5955030</wp:posOffset>
          </wp:positionH>
          <wp:positionV relativeFrom="page">
            <wp:posOffset>136525</wp:posOffset>
          </wp:positionV>
          <wp:extent cx="1463588" cy="745958"/>
          <wp:effectExtent l="0" t="0" r="3810" b="0"/>
          <wp:wrapNone/>
          <wp:docPr id="8" name="Image 8" descr=":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: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588" cy="745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334A41"/>
    <w:multiLevelType w:val="hybridMultilevel"/>
    <w:tmpl w:val="90860F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E37D8"/>
    <w:multiLevelType w:val="hybridMultilevel"/>
    <w:tmpl w:val="EDA8EA56"/>
    <w:lvl w:ilvl="0" w:tplc="5AE0A476">
      <w:start w:val="106"/>
      <w:numFmt w:val="bullet"/>
      <w:lvlText w:val=""/>
      <w:lvlJc w:val="left"/>
      <w:pPr>
        <w:ind w:left="432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F517C57"/>
    <w:multiLevelType w:val="hybridMultilevel"/>
    <w:tmpl w:val="23CE0F58"/>
    <w:lvl w:ilvl="0" w:tplc="E9D8C5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084C"/>
    <w:multiLevelType w:val="hybridMultilevel"/>
    <w:tmpl w:val="7D800166"/>
    <w:lvl w:ilvl="0" w:tplc="046848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5C2D"/>
    <w:multiLevelType w:val="hybridMultilevel"/>
    <w:tmpl w:val="B8169AE8"/>
    <w:lvl w:ilvl="0" w:tplc="24009604">
      <w:start w:val="106"/>
      <w:numFmt w:val="bullet"/>
      <w:lvlText w:val=""/>
      <w:lvlJc w:val="left"/>
      <w:pPr>
        <w:ind w:left="432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AAB00B2"/>
    <w:multiLevelType w:val="hybridMultilevel"/>
    <w:tmpl w:val="90D845E0"/>
    <w:lvl w:ilvl="0" w:tplc="08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7E49C7E">
      <w:numFmt w:val="bullet"/>
      <w:lvlText w:val="-"/>
      <w:lvlJc w:val="left"/>
      <w:pPr>
        <w:ind w:left="2553" w:hanging="480"/>
      </w:pPr>
      <w:rPr>
        <w:rFonts w:ascii="Arial" w:eastAsia="Times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EDF2FBA"/>
    <w:multiLevelType w:val="hybridMultilevel"/>
    <w:tmpl w:val="D554B1F8"/>
    <w:lvl w:ilvl="0" w:tplc="82CEBF50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F6C6B"/>
    <w:multiLevelType w:val="hybridMultilevel"/>
    <w:tmpl w:val="6FEE79B6"/>
    <w:lvl w:ilvl="0" w:tplc="BCD4BE2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0DCD"/>
    <w:multiLevelType w:val="hybridMultilevel"/>
    <w:tmpl w:val="FCD060BC"/>
    <w:lvl w:ilvl="0" w:tplc="087255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4618F"/>
    <w:multiLevelType w:val="hybridMultilevel"/>
    <w:tmpl w:val="CD6E842E"/>
    <w:lvl w:ilvl="0" w:tplc="610CA00E">
      <w:start w:val="106"/>
      <w:numFmt w:val="bullet"/>
      <w:lvlText w:val=""/>
      <w:lvlJc w:val="left"/>
      <w:pPr>
        <w:ind w:left="315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0" w15:restartNumberingAfterBreak="0">
    <w:nsid w:val="4CBA3728"/>
    <w:multiLevelType w:val="hybridMultilevel"/>
    <w:tmpl w:val="05DAC74E"/>
    <w:lvl w:ilvl="0" w:tplc="8A904CBA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318"/>
    <w:multiLevelType w:val="hybridMultilevel"/>
    <w:tmpl w:val="736A3F9E"/>
    <w:lvl w:ilvl="0" w:tplc="B0A677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44E88"/>
    <w:multiLevelType w:val="hybridMultilevel"/>
    <w:tmpl w:val="BC08340A"/>
    <w:lvl w:ilvl="0" w:tplc="EA3EE940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5CA5"/>
    <w:multiLevelType w:val="hybridMultilevel"/>
    <w:tmpl w:val="355C577C"/>
    <w:lvl w:ilvl="0" w:tplc="6BDC7830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A621B"/>
    <w:multiLevelType w:val="hybridMultilevel"/>
    <w:tmpl w:val="527817EE"/>
    <w:lvl w:ilvl="0" w:tplc="7A2EB6D4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640B"/>
    <w:multiLevelType w:val="hybridMultilevel"/>
    <w:tmpl w:val="A9CA4F0A"/>
    <w:lvl w:ilvl="0" w:tplc="736681E4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93295"/>
    <w:multiLevelType w:val="hybridMultilevel"/>
    <w:tmpl w:val="C226B956"/>
    <w:lvl w:ilvl="0" w:tplc="1D06B3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057CA"/>
    <w:multiLevelType w:val="hybridMultilevel"/>
    <w:tmpl w:val="D3F04324"/>
    <w:lvl w:ilvl="0" w:tplc="C5BC57C6">
      <w:start w:val="10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16"/>
  </w:num>
  <w:num w:numId="9">
    <w:abstractNumId w:val="5"/>
  </w:num>
  <w:num w:numId="10">
    <w:abstractNumId w:val="17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12"/>
  </w:num>
  <w:num w:numId="16">
    <w:abstractNumId w:val="6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69"/>
    <w:rsid w:val="00007FB8"/>
    <w:rsid w:val="000209BE"/>
    <w:rsid w:val="00052069"/>
    <w:rsid w:val="000773DC"/>
    <w:rsid w:val="00084A33"/>
    <w:rsid w:val="000931C0"/>
    <w:rsid w:val="000954B0"/>
    <w:rsid w:val="000E5EB0"/>
    <w:rsid w:val="000F50DF"/>
    <w:rsid w:val="0010733F"/>
    <w:rsid w:val="00116313"/>
    <w:rsid w:val="00156005"/>
    <w:rsid w:val="001937A6"/>
    <w:rsid w:val="001B6CEA"/>
    <w:rsid w:val="001C45F9"/>
    <w:rsid w:val="001F678D"/>
    <w:rsid w:val="002031EA"/>
    <w:rsid w:val="00203B20"/>
    <w:rsid w:val="00291717"/>
    <w:rsid w:val="002B1385"/>
    <w:rsid w:val="002B2A23"/>
    <w:rsid w:val="002C588F"/>
    <w:rsid w:val="003421B9"/>
    <w:rsid w:val="00364F3A"/>
    <w:rsid w:val="003732B2"/>
    <w:rsid w:val="0038122D"/>
    <w:rsid w:val="003819C4"/>
    <w:rsid w:val="003A5465"/>
    <w:rsid w:val="003C6C72"/>
    <w:rsid w:val="00463981"/>
    <w:rsid w:val="004823B6"/>
    <w:rsid w:val="004B04DF"/>
    <w:rsid w:val="0050333E"/>
    <w:rsid w:val="005056DB"/>
    <w:rsid w:val="005437C9"/>
    <w:rsid w:val="0055373F"/>
    <w:rsid w:val="005C293A"/>
    <w:rsid w:val="005C621D"/>
    <w:rsid w:val="005F0BD9"/>
    <w:rsid w:val="00630DB9"/>
    <w:rsid w:val="0064534C"/>
    <w:rsid w:val="00653BBA"/>
    <w:rsid w:val="00662132"/>
    <w:rsid w:val="006865F3"/>
    <w:rsid w:val="00691CF3"/>
    <w:rsid w:val="006F26B6"/>
    <w:rsid w:val="00711846"/>
    <w:rsid w:val="007E3E32"/>
    <w:rsid w:val="007F1E7F"/>
    <w:rsid w:val="00807634"/>
    <w:rsid w:val="008577DE"/>
    <w:rsid w:val="00885FE5"/>
    <w:rsid w:val="008A1D50"/>
    <w:rsid w:val="00925961"/>
    <w:rsid w:val="00935189"/>
    <w:rsid w:val="00972E2B"/>
    <w:rsid w:val="009A6D59"/>
    <w:rsid w:val="00A42CCB"/>
    <w:rsid w:val="00B10B30"/>
    <w:rsid w:val="00B36DC8"/>
    <w:rsid w:val="00B87DBF"/>
    <w:rsid w:val="00BD64A8"/>
    <w:rsid w:val="00BF76B5"/>
    <w:rsid w:val="00C11EA9"/>
    <w:rsid w:val="00C26DD2"/>
    <w:rsid w:val="00C71B43"/>
    <w:rsid w:val="00C72954"/>
    <w:rsid w:val="00C75E20"/>
    <w:rsid w:val="00CA113C"/>
    <w:rsid w:val="00CB239E"/>
    <w:rsid w:val="00CC0A91"/>
    <w:rsid w:val="00CF4D4E"/>
    <w:rsid w:val="00D3607F"/>
    <w:rsid w:val="00D42AB2"/>
    <w:rsid w:val="00D4491B"/>
    <w:rsid w:val="00D60DFA"/>
    <w:rsid w:val="00D64B1F"/>
    <w:rsid w:val="00DC5B4A"/>
    <w:rsid w:val="00DD5BA0"/>
    <w:rsid w:val="00DE7E56"/>
    <w:rsid w:val="00E0759C"/>
    <w:rsid w:val="00E43A15"/>
    <w:rsid w:val="00E53C06"/>
    <w:rsid w:val="00E86560"/>
    <w:rsid w:val="00EC63EB"/>
    <w:rsid w:val="00EF5E67"/>
    <w:rsid w:val="00F03883"/>
    <w:rsid w:val="00F1626D"/>
    <w:rsid w:val="00F27A71"/>
    <w:rsid w:val="00F9046B"/>
    <w:rsid w:val="00F97E56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95B2D68-10A0-49BC-BEA6-2DD63F41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206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520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0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06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520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06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27A7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27A71"/>
    <w:rPr>
      <w:color w:val="80008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58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588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0763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6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132"/>
  </w:style>
  <w:style w:type="paragraph" w:styleId="Pieddepage">
    <w:name w:val="footer"/>
    <w:basedOn w:val="Normal"/>
    <w:link w:val="PieddepageCar"/>
    <w:uiPriority w:val="99"/>
    <w:unhideWhenUsed/>
    <w:rsid w:val="0066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FR/TXT/?uri=CELEX:31996L002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FR/TXT/?uri=CELEX:02004R0853-201711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gal-content/FR/TXT/HTML/?uri=CELEX:31996L0023&amp;r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FR/TXT/?uri=CELEX:32010L0063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591D-B2D7-43A9-818A-B8E608A2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1701</Words>
  <Characters>9361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Tableau déchets animaux</vt:lpstr>
      <vt:lpstr/>
    </vt:vector>
  </TitlesOfParts>
  <Company>BIM-IBGE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déchets animaux</dc:title>
  <dc:creator>BE - LB</dc:creator>
  <cp:keywords>Déchets; Animaux; Catégorie; Sous-rubrique, Rubrique 106; Huiles</cp:keywords>
  <cp:lastModifiedBy>DUBOIS Pauline</cp:lastModifiedBy>
  <cp:revision>6</cp:revision>
  <dcterms:created xsi:type="dcterms:W3CDTF">2019-11-18T10:29:00Z</dcterms:created>
  <dcterms:modified xsi:type="dcterms:W3CDTF">2019-11-18T10:50:00Z</dcterms:modified>
</cp:coreProperties>
</file>